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FA" w:rsidRDefault="00B63BFA" w:rsidP="00B63BFA">
      <w:pPr>
        <w:spacing w:before="100" w:beforeAutospacing="1" w:after="100" w:afterAutospacing="1"/>
        <w:jc w:val="both"/>
        <w:rPr>
          <w:b/>
          <w:bCs/>
          <w:u w:val="single"/>
        </w:rPr>
      </w:pPr>
    </w:p>
    <w:p w:rsidR="00B63BFA" w:rsidRPr="00DD3601" w:rsidRDefault="00B63BFA" w:rsidP="00B63BFA">
      <w:pPr>
        <w:spacing w:before="100" w:beforeAutospacing="1" w:after="100" w:afterAutospacing="1"/>
        <w:jc w:val="both"/>
        <w:rPr>
          <w:b/>
          <w:bCs/>
          <w:u w:val="single"/>
        </w:rPr>
      </w:pPr>
      <w:proofErr w:type="spellStart"/>
      <w:r w:rsidRPr="00DD3601">
        <w:rPr>
          <w:b/>
          <w:bCs/>
          <w:u w:val="single"/>
        </w:rPr>
        <w:t>Erasmus</w:t>
      </w:r>
      <w:proofErr w:type="spellEnd"/>
      <w:r w:rsidRPr="00DD3601">
        <w:rPr>
          <w:b/>
          <w:bCs/>
          <w:u w:val="single"/>
        </w:rPr>
        <w:t xml:space="preserve">+ Personel Hareketliliği Programından Yararlanacak Personellerimizin Dikkatine </w:t>
      </w:r>
    </w:p>
    <w:p w:rsidR="00B63BFA" w:rsidRPr="00DD3601" w:rsidRDefault="00B63BFA" w:rsidP="00B63BFA">
      <w:pPr>
        <w:spacing w:before="100" w:beforeAutospacing="1" w:after="100" w:afterAutospacing="1"/>
        <w:jc w:val="both"/>
        <w:rPr>
          <w:b/>
          <w:bCs/>
          <w:u w:val="single"/>
        </w:rPr>
      </w:pPr>
      <w:r w:rsidRPr="00DD3601">
        <w:rPr>
          <w:b/>
          <w:bCs/>
          <w:u w:val="single"/>
        </w:rPr>
        <w:t>Bilgi Notu:</w:t>
      </w:r>
    </w:p>
    <w:p w:rsidR="00B63BFA" w:rsidRPr="00DD3601" w:rsidRDefault="00B63BFA" w:rsidP="00B63BFA">
      <w:pPr>
        <w:spacing w:before="100" w:beforeAutospacing="1" w:after="100" w:afterAutospacing="1"/>
        <w:jc w:val="both"/>
        <w:rPr>
          <w:bCs/>
        </w:rPr>
      </w:pPr>
      <w:r w:rsidRPr="00DD3601">
        <w:rPr>
          <w:bCs/>
        </w:rPr>
        <w:t>“Bu başvuruların değerlendirilmesi ve  nihai kararı aşamasında, değerlendirmeyi yapan personel ile başvuru sahipleri arasında değerlendirmeyi yapan personelin tarafsızlığını etkileyebilecek herhangi bir kişisel ilişki bulunmamaktadır. Karar, tarafsızlık ve şeffaflık kurallarına uygun bir şekilde verilmiştir. Seçim, Program Kılavuzunun ve Ulusal Ajans’ın belirttiği şekilde yapılmıştır.”</w:t>
      </w:r>
    </w:p>
    <w:p w:rsidR="00B63BFA" w:rsidRPr="00DD3601" w:rsidRDefault="00B63BFA" w:rsidP="00B63BFA">
      <w:pPr>
        <w:spacing w:before="100" w:beforeAutospacing="1" w:after="100" w:afterAutospacing="1"/>
        <w:jc w:val="both"/>
        <w:rPr>
          <w:bCs/>
        </w:rPr>
      </w:pPr>
      <w:proofErr w:type="spellStart"/>
      <w:r w:rsidRPr="00DD3601">
        <w:rPr>
          <w:bCs/>
        </w:rPr>
        <w:t>Erasmus</w:t>
      </w:r>
      <w:proofErr w:type="spellEnd"/>
      <w:r w:rsidRPr="00DD3601">
        <w:rPr>
          <w:bCs/>
        </w:rPr>
        <w:t>+ Personel Hareket</w:t>
      </w:r>
      <w:r>
        <w:rPr>
          <w:bCs/>
        </w:rPr>
        <w:t>liliği Değerlendirme Ölçütleri 5 Nisan 2023 tarihli aşağıdaki linklerde bulunan duyurularımız</w:t>
      </w:r>
      <w:r w:rsidRPr="00DD3601">
        <w:rPr>
          <w:bCs/>
        </w:rPr>
        <w:t>da belirtildiği şekilde yapılmıştır.</w:t>
      </w:r>
    </w:p>
    <w:p w:rsidR="00B63BFA" w:rsidRDefault="00B63BFA" w:rsidP="00B63BFA">
      <w:pPr>
        <w:spacing w:before="100" w:beforeAutospacing="1" w:after="100" w:afterAutospacing="1"/>
        <w:jc w:val="both"/>
        <w:rPr>
          <w:bCs/>
        </w:rPr>
      </w:pPr>
      <w:hyperlink r:id="rId6" w:history="1">
        <w:r w:rsidRPr="009E3332">
          <w:rPr>
            <w:rStyle w:val="Kpr"/>
            <w:bCs/>
          </w:rPr>
          <w:t>http://erasmus.gantep.edu.tr/duyuru.php?id=156</w:t>
        </w:r>
      </w:hyperlink>
    </w:p>
    <w:p w:rsidR="00B63BFA" w:rsidRPr="00DD3601" w:rsidRDefault="00B63BFA" w:rsidP="00B63BFA">
      <w:pPr>
        <w:spacing w:before="100" w:beforeAutospacing="1" w:after="100" w:afterAutospacing="1"/>
        <w:jc w:val="both"/>
        <w:rPr>
          <w:bCs/>
        </w:rPr>
      </w:pPr>
      <w:r w:rsidRPr="00B100A0">
        <w:rPr>
          <w:bCs/>
        </w:rPr>
        <w:t>http://erasmus.gantep.edu.tr/duyuru.php?id=155</w:t>
      </w:r>
    </w:p>
    <w:p w:rsidR="00B63BFA" w:rsidRPr="00DD3601" w:rsidRDefault="00B63BFA" w:rsidP="00B63BFA">
      <w:pPr>
        <w:spacing w:before="100" w:beforeAutospacing="1" w:after="100" w:afterAutospacing="1"/>
        <w:jc w:val="both"/>
        <w:rPr>
          <w:b/>
          <w:bCs/>
          <w:u w:val="single"/>
        </w:rPr>
      </w:pPr>
      <w:r w:rsidRPr="00DD3601">
        <w:rPr>
          <w:b/>
          <w:bCs/>
          <w:u w:val="single"/>
        </w:rPr>
        <w:t>Gitmeden Önce Yapılması Gerekenler</w:t>
      </w:r>
    </w:p>
    <w:p w:rsidR="00B63BFA" w:rsidRPr="00DD3601" w:rsidRDefault="00B63BFA" w:rsidP="00B63BFA">
      <w:pPr>
        <w:pStyle w:val="ListeParagraf"/>
        <w:numPr>
          <w:ilvl w:val="0"/>
          <w:numId w:val="1"/>
        </w:numPr>
        <w:spacing w:before="100" w:beforeAutospacing="1" w:after="100" w:afterAutospacing="1"/>
        <w:jc w:val="both"/>
        <w:rPr>
          <w:bCs/>
        </w:rPr>
      </w:pPr>
      <w:r w:rsidRPr="00DD3601">
        <w:rPr>
          <w:bCs/>
        </w:rPr>
        <w:t xml:space="preserve">Seçilen personellerimizin gidecekleri kurumdan 4 iş gününü kapsayacak şekilde </w:t>
      </w:r>
      <w:proofErr w:type="spellStart"/>
      <w:r w:rsidRPr="00DD3601">
        <w:rPr>
          <w:bCs/>
        </w:rPr>
        <w:t>Erasmus</w:t>
      </w:r>
      <w:proofErr w:type="spellEnd"/>
      <w:r w:rsidRPr="00DD3601">
        <w:rPr>
          <w:bCs/>
        </w:rPr>
        <w:t xml:space="preserve">+ kapsamında davet edildiğini gösteren </w:t>
      </w:r>
      <w:r w:rsidRPr="00DD3601">
        <w:rPr>
          <w:b/>
          <w:bCs/>
        </w:rPr>
        <w:t>Kabul Belgesi</w:t>
      </w:r>
      <w:r w:rsidRPr="00DD3601">
        <w:rPr>
          <w:bCs/>
        </w:rPr>
        <w:t xml:space="preserve"> alması gerekir. </w:t>
      </w:r>
      <w:r w:rsidRPr="00DD3601">
        <w:rPr>
          <w:b/>
          <w:bCs/>
        </w:rPr>
        <w:t xml:space="preserve">Ders Verme Hareketliliği için </w:t>
      </w:r>
      <w:proofErr w:type="spellStart"/>
      <w:r w:rsidRPr="00DD3601">
        <w:rPr>
          <w:b/>
          <w:bCs/>
        </w:rPr>
        <w:t>Teaching</w:t>
      </w:r>
      <w:proofErr w:type="spellEnd"/>
      <w:r w:rsidRPr="00DD3601">
        <w:rPr>
          <w:b/>
          <w:bCs/>
        </w:rPr>
        <w:t xml:space="preserve"> </w:t>
      </w:r>
      <w:proofErr w:type="spellStart"/>
      <w:r w:rsidRPr="00DD3601">
        <w:rPr>
          <w:b/>
          <w:bCs/>
        </w:rPr>
        <w:t>Staff</w:t>
      </w:r>
      <w:proofErr w:type="spellEnd"/>
      <w:r w:rsidRPr="00DD3601">
        <w:rPr>
          <w:b/>
          <w:bCs/>
        </w:rPr>
        <w:t xml:space="preserve"> </w:t>
      </w:r>
      <w:proofErr w:type="spellStart"/>
      <w:r w:rsidRPr="00DD3601">
        <w:rPr>
          <w:b/>
          <w:bCs/>
        </w:rPr>
        <w:t>Mobility</w:t>
      </w:r>
      <w:proofErr w:type="spellEnd"/>
      <w:r w:rsidRPr="00DD3601">
        <w:rPr>
          <w:b/>
          <w:bCs/>
        </w:rPr>
        <w:t xml:space="preserve">, Eğitim Alma Hareketliliği için Training </w:t>
      </w:r>
      <w:proofErr w:type="spellStart"/>
      <w:r w:rsidRPr="00DD3601">
        <w:rPr>
          <w:b/>
          <w:bCs/>
        </w:rPr>
        <w:t>Staff</w:t>
      </w:r>
      <w:proofErr w:type="spellEnd"/>
      <w:r w:rsidRPr="00DD3601">
        <w:rPr>
          <w:b/>
          <w:bCs/>
        </w:rPr>
        <w:t xml:space="preserve"> </w:t>
      </w:r>
      <w:proofErr w:type="spellStart"/>
      <w:r w:rsidRPr="00DD3601">
        <w:rPr>
          <w:b/>
          <w:bCs/>
        </w:rPr>
        <w:t>Mobility</w:t>
      </w:r>
      <w:proofErr w:type="spellEnd"/>
      <w:r w:rsidRPr="00DD3601">
        <w:rPr>
          <w:bCs/>
        </w:rPr>
        <w:t xml:space="preserve"> kapsamında davet edildiğiniz belirtilmelidir.  Kabul belgesi tarihleri örneğin </w:t>
      </w:r>
      <w:r>
        <w:rPr>
          <w:b/>
          <w:bCs/>
        </w:rPr>
        <w:t>5-8 Haziran 2023</w:t>
      </w:r>
      <w:r w:rsidRPr="00DD3601">
        <w:rPr>
          <w:bCs/>
        </w:rPr>
        <w:t xml:space="preserve"> şeklinde olmalıdır. Kabul belgesi ve </w:t>
      </w:r>
      <w:proofErr w:type="spellStart"/>
      <w:r w:rsidRPr="00DD3601">
        <w:rPr>
          <w:bCs/>
        </w:rPr>
        <w:t>Staff</w:t>
      </w:r>
      <w:proofErr w:type="spellEnd"/>
      <w:r w:rsidRPr="00DD3601">
        <w:rPr>
          <w:bCs/>
        </w:rPr>
        <w:t xml:space="preserve"> </w:t>
      </w:r>
      <w:proofErr w:type="spellStart"/>
      <w:r w:rsidRPr="00DD3601">
        <w:rPr>
          <w:bCs/>
        </w:rPr>
        <w:t>Mobility</w:t>
      </w:r>
      <w:proofErr w:type="spellEnd"/>
      <w:r w:rsidRPr="00DD3601">
        <w:rPr>
          <w:bCs/>
        </w:rPr>
        <w:t xml:space="preserve"> </w:t>
      </w:r>
      <w:proofErr w:type="spellStart"/>
      <w:r w:rsidRPr="00DD3601">
        <w:rPr>
          <w:bCs/>
        </w:rPr>
        <w:t>Agreement’ın</w:t>
      </w:r>
      <w:proofErr w:type="spellEnd"/>
      <w:r w:rsidRPr="00DD3601">
        <w:rPr>
          <w:bCs/>
        </w:rPr>
        <w:t xml:space="preserve"> </w:t>
      </w:r>
      <w:r>
        <w:rPr>
          <w:b/>
          <w:bCs/>
        </w:rPr>
        <w:t>20.06.2023</w:t>
      </w:r>
      <w:r w:rsidRPr="00DD3601">
        <w:rPr>
          <w:bCs/>
        </w:rPr>
        <w:t xml:space="preserve"> tarihine kadar Uluslararası İlişkiler Ofisi’ne teslim edilmesi zorunludur. </w:t>
      </w:r>
      <w:r>
        <w:rPr>
          <w:bCs/>
        </w:rPr>
        <w:t xml:space="preserve">Belirtilen tarihe kadar bu belgelerini teslim etmeyen personellerin yerine yedek listeden yerleştirme yapılacaktır. </w:t>
      </w:r>
      <w:r>
        <w:rPr>
          <w:b/>
          <w:bCs/>
        </w:rPr>
        <w:t>30.09.2023</w:t>
      </w:r>
      <w:r w:rsidRPr="00DD3601">
        <w:rPr>
          <w:bCs/>
        </w:rPr>
        <w:t xml:space="preserve"> tarihine kadar faaliyetinizi gerçekleştirmeniz gerekmektedir.</w:t>
      </w:r>
    </w:p>
    <w:p w:rsidR="00B63BFA" w:rsidRPr="00DD3601" w:rsidRDefault="00B63BFA" w:rsidP="00B63BFA">
      <w:pPr>
        <w:pStyle w:val="ListeParagraf"/>
        <w:numPr>
          <w:ilvl w:val="0"/>
          <w:numId w:val="1"/>
        </w:numPr>
        <w:spacing w:before="100" w:beforeAutospacing="1" w:after="100" w:afterAutospacing="1"/>
        <w:jc w:val="both"/>
        <w:rPr>
          <w:bCs/>
        </w:rPr>
      </w:pPr>
      <w:r>
        <w:rPr>
          <w:bCs/>
        </w:rPr>
        <w:t>Ders Ver</w:t>
      </w:r>
      <w:r w:rsidRPr="00DD3601">
        <w:rPr>
          <w:bCs/>
        </w:rPr>
        <w:t>me hareketliliğine katılacak olan personeller</w:t>
      </w:r>
      <w:r w:rsidRPr="00DD3601">
        <w:rPr>
          <w:b/>
          <w:bCs/>
        </w:rPr>
        <w:t xml:space="preserve"> </w:t>
      </w:r>
      <w:proofErr w:type="spellStart"/>
      <w:r w:rsidRPr="00DD3601">
        <w:rPr>
          <w:b/>
          <w:bCs/>
        </w:rPr>
        <w:t>Staff</w:t>
      </w:r>
      <w:proofErr w:type="spellEnd"/>
      <w:r w:rsidRPr="00DD3601">
        <w:rPr>
          <w:b/>
          <w:bCs/>
        </w:rPr>
        <w:t xml:space="preserve"> </w:t>
      </w:r>
      <w:proofErr w:type="spellStart"/>
      <w:r w:rsidRPr="00DD3601">
        <w:rPr>
          <w:b/>
          <w:bCs/>
        </w:rPr>
        <w:t>Mobility</w:t>
      </w:r>
      <w:proofErr w:type="spellEnd"/>
      <w:r w:rsidRPr="00DD3601">
        <w:rPr>
          <w:b/>
          <w:bCs/>
        </w:rPr>
        <w:t xml:space="preserve"> </w:t>
      </w:r>
      <w:proofErr w:type="spellStart"/>
      <w:r w:rsidRPr="00DD3601">
        <w:rPr>
          <w:b/>
          <w:bCs/>
        </w:rPr>
        <w:t>Agreement</w:t>
      </w:r>
      <w:proofErr w:type="spellEnd"/>
      <w:r w:rsidRPr="00DD3601">
        <w:rPr>
          <w:bCs/>
        </w:rPr>
        <w:t xml:space="preserve"> programını toplamda en az 8 saati belirtecek şekilde düzenlenmelidir. Programın içeriği akademik alanınızla ilgili çalışmaları içermelidir. Yetersiz, açıklayıcı olmayan programlar kabul edilmez. Gitmeden önce taratılmış olarak alacağımız bu belgelerin dönüşte orijinal hali ofisimize teslim edilmelidir.</w:t>
      </w:r>
    </w:p>
    <w:p w:rsidR="00B63BFA" w:rsidRPr="00DD3601" w:rsidRDefault="00B63BFA" w:rsidP="00B63BFA">
      <w:pPr>
        <w:pStyle w:val="ListeParagraf"/>
        <w:numPr>
          <w:ilvl w:val="0"/>
          <w:numId w:val="1"/>
        </w:numPr>
        <w:spacing w:before="100" w:beforeAutospacing="1" w:after="100" w:afterAutospacing="1"/>
        <w:jc w:val="both"/>
        <w:rPr>
          <w:bCs/>
        </w:rPr>
      </w:pPr>
      <w:r w:rsidRPr="00DD3601">
        <w:rPr>
          <w:b/>
          <w:bCs/>
        </w:rPr>
        <w:t xml:space="preserve">Kabul Belgesi </w:t>
      </w:r>
      <w:r w:rsidRPr="00DD3601">
        <w:rPr>
          <w:bCs/>
        </w:rPr>
        <w:t>için ekte verilen örnek kullanılabileceği gibi, gideceğiniz kurumun hazırlayacağı ancak gerekli bilgilerin olduğu bir kabul yazısı da kabul edilebilir.</w:t>
      </w:r>
    </w:p>
    <w:p w:rsidR="00B63BFA" w:rsidRPr="00DD3601" w:rsidRDefault="00B63BFA" w:rsidP="00B63BFA">
      <w:pPr>
        <w:pStyle w:val="ListeParagraf"/>
        <w:numPr>
          <w:ilvl w:val="0"/>
          <w:numId w:val="1"/>
        </w:numPr>
        <w:spacing w:before="100" w:beforeAutospacing="1" w:after="100" w:afterAutospacing="1"/>
        <w:jc w:val="both"/>
        <w:rPr>
          <w:bCs/>
        </w:rPr>
      </w:pPr>
      <w:r w:rsidRPr="00DD3601">
        <w:rPr>
          <w:bCs/>
        </w:rPr>
        <w:t>Ekteki “</w:t>
      </w:r>
      <w:r w:rsidRPr="00DD3601">
        <w:rPr>
          <w:b/>
          <w:bCs/>
        </w:rPr>
        <w:t xml:space="preserve">Bilgi </w:t>
      </w:r>
      <w:proofErr w:type="spellStart"/>
      <w:r w:rsidRPr="00DD3601">
        <w:rPr>
          <w:b/>
          <w:bCs/>
        </w:rPr>
        <w:t>Formu’nu</w:t>
      </w:r>
      <w:proofErr w:type="spellEnd"/>
      <w:r w:rsidRPr="00DD3601">
        <w:rPr>
          <w:bCs/>
        </w:rPr>
        <w:t>” doldurup Uluslararası İlişkiler Ofisi’ne teslim etmelisiniz.</w:t>
      </w:r>
    </w:p>
    <w:p w:rsidR="00B63BFA" w:rsidRPr="00DD3601" w:rsidRDefault="00B63BFA" w:rsidP="00B63BFA">
      <w:pPr>
        <w:pStyle w:val="ListeParagraf"/>
        <w:numPr>
          <w:ilvl w:val="0"/>
          <w:numId w:val="1"/>
        </w:numPr>
        <w:spacing w:before="100" w:beforeAutospacing="1" w:after="100" w:afterAutospacing="1"/>
        <w:jc w:val="both"/>
        <w:rPr>
          <w:bCs/>
        </w:rPr>
      </w:pPr>
      <w:r w:rsidRPr="00DD3601">
        <w:rPr>
          <w:bCs/>
        </w:rPr>
        <w:t xml:space="preserve">Yurt dışı </w:t>
      </w:r>
      <w:r w:rsidRPr="00DD3601">
        <w:rPr>
          <w:b/>
          <w:bCs/>
        </w:rPr>
        <w:t xml:space="preserve">görevlendirmeniz </w:t>
      </w:r>
      <w:r w:rsidRPr="00DD3601">
        <w:rPr>
          <w:bCs/>
        </w:rPr>
        <w:t>için ekteki formata göre izin dilekçenizi hazırlamanızı talep etmekteyiz.</w:t>
      </w:r>
    </w:p>
    <w:p w:rsidR="00B63BFA" w:rsidRPr="00DD3601" w:rsidRDefault="00B63BFA" w:rsidP="00B63BFA">
      <w:pPr>
        <w:pStyle w:val="ListeParagraf"/>
        <w:numPr>
          <w:ilvl w:val="0"/>
          <w:numId w:val="1"/>
        </w:numPr>
        <w:spacing w:before="100" w:beforeAutospacing="1" w:after="100" w:afterAutospacing="1"/>
        <w:jc w:val="both"/>
        <w:rPr>
          <w:bCs/>
        </w:rPr>
      </w:pPr>
      <w:proofErr w:type="spellStart"/>
      <w:r w:rsidRPr="00DD3601">
        <w:rPr>
          <w:b/>
          <w:bCs/>
        </w:rPr>
        <w:t>Halkbankası</w:t>
      </w:r>
      <w:proofErr w:type="spellEnd"/>
      <w:r w:rsidRPr="00DD3601">
        <w:rPr>
          <w:b/>
          <w:bCs/>
        </w:rPr>
        <w:t xml:space="preserve"> Euro hesabı</w:t>
      </w:r>
      <w:r w:rsidRPr="00DD3601">
        <w:rPr>
          <w:bCs/>
        </w:rPr>
        <w:t xml:space="preserve"> açarak ofise hesap bilgilerinizi teslim etmelisiniz. (Banka Şube kodu, IBAN vs.)</w:t>
      </w:r>
    </w:p>
    <w:p w:rsidR="00B63BFA" w:rsidRPr="00DD3601" w:rsidRDefault="00B63BFA" w:rsidP="00B63BFA">
      <w:pPr>
        <w:pStyle w:val="ListeParagraf"/>
        <w:numPr>
          <w:ilvl w:val="0"/>
          <w:numId w:val="1"/>
        </w:numPr>
        <w:spacing w:before="100" w:beforeAutospacing="1" w:after="100" w:afterAutospacing="1"/>
        <w:jc w:val="both"/>
        <w:rPr>
          <w:bCs/>
        </w:rPr>
      </w:pPr>
      <w:r w:rsidRPr="00DD3601">
        <w:rPr>
          <w:b/>
          <w:bCs/>
        </w:rPr>
        <w:t>Hibe Sözleşmesi</w:t>
      </w:r>
      <w:r w:rsidRPr="00DD3601">
        <w:rPr>
          <w:bCs/>
        </w:rPr>
        <w:t xml:space="preserve"> Uluslararası İlişkiler Ofisi tarafından hazırlanır size imzalatılır.</w:t>
      </w:r>
    </w:p>
    <w:p w:rsidR="00B63BFA" w:rsidRPr="00DD3601" w:rsidRDefault="00B63BFA" w:rsidP="00B63BFA">
      <w:pPr>
        <w:pStyle w:val="ListeParagraf"/>
        <w:numPr>
          <w:ilvl w:val="0"/>
          <w:numId w:val="1"/>
        </w:numPr>
        <w:spacing w:before="100" w:beforeAutospacing="1" w:after="100" w:afterAutospacing="1"/>
        <w:jc w:val="both"/>
        <w:rPr>
          <w:bCs/>
        </w:rPr>
      </w:pPr>
      <w:r w:rsidRPr="00DD3601">
        <w:rPr>
          <w:bCs/>
        </w:rPr>
        <w:t xml:space="preserve">Yurtdışı </w:t>
      </w:r>
      <w:r w:rsidRPr="00DD3601">
        <w:rPr>
          <w:b/>
          <w:bCs/>
        </w:rPr>
        <w:t>görevlendirmenizin orijinal</w:t>
      </w:r>
      <w:r w:rsidRPr="00DD3601">
        <w:rPr>
          <w:bCs/>
        </w:rPr>
        <w:t xml:space="preserve"> halini Uluslararası İlişkiler Ofisi’ne teslim etmelisiniz. Görevlendirme tarihleriniz programdan bir gün öncesini ve bir gün so</w:t>
      </w:r>
      <w:r>
        <w:rPr>
          <w:bCs/>
        </w:rPr>
        <w:t>nrasını kapsamalıdır. Örneğin, 5-8 Haziran</w:t>
      </w:r>
      <w:r w:rsidRPr="00DD3601">
        <w:rPr>
          <w:bCs/>
        </w:rPr>
        <w:t xml:space="preserve"> tarihlerinde programa k</w:t>
      </w:r>
      <w:r>
        <w:rPr>
          <w:bCs/>
        </w:rPr>
        <w:t>atılacaksanız görevlendirmeniz 4-9 Haziran 2023</w:t>
      </w:r>
      <w:r w:rsidRPr="00DD3601">
        <w:rPr>
          <w:bCs/>
        </w:rPr>
        <w:t xml:space="preserve"> tarihli olmalıdır.</w:t>
      </w:r>
    </w:p>
    <w:p w:rsidR="00B63BFA" w:rsidRPr="00DD3601" w:rsidRDefault="00B63BFA" w:rsidP="00B63BFA">
      <w:pPr>
        <w:pStyle w:val="ListeParagraf"/>
        <w:numPr>
          <w:ilvl w:val="0"/>
          <w:numId w:val="1"/>
        </w:numPr>
        <w:spacing w:before="100" w:beforeAutospacing="1" w:after="100" w:afterAutospacing="1"/>
        <w:jc w:val="both"/>
        <w:rPr>
          <w:bCs/>
        </w:rPr>
      </w:pPr>
      <w:r w:rsidRPr="00DD3601">
        <w:rPr>
          <w:bCs/>
        </w:rPr>
        <w:t xml:space="preserve">Görevlendirme yazısı faaliyet başlamadan en az </w:t>
      </w:r>
      <w:r w:rsidR="006D5A3F">
        <w:rPr>
          <w:bCs/>
        </w:rPr>
        <w:t>3 hafta</w:t>
      </w:r>
      <w:r w:rsidRPr="00DD3601">
        <w:rPr>
          <w:bCs/>
        </w:rPr>
        <w:t xml:space="preserve"> öncesinden Uluslararası İlişkiler Ofisi’ne teslim edilmelidir.</w:t>
      </w:r>
    </w:p>
    <w:p w:rsidR="00B63BFA" w:rsidRPr="00DD3601" w:rsidRDefault="00B63BFA" w:rsidP="00B63BFA">
      <w:pPr>
        <w:pStyle w:val="ListeParagraf"/>
        <w:numPr>
          <w:ilvl w:val="0"/>
          <w:numId w:val="1"/>
        </w:numPr>
        <w:spacing w:before="100" w:beforeAutospacing="1" w:after="100" w:afterAutospacing="1"/>
        <w:jc w:val="both"/>
        <w:rPr>
          <w:bCs/>
        </w:rPr>
      </w:pPr>
      <w:r w:rsidRPr="00DD3601">
        <w:rPr>
          <w:bCs/>
        </w:rPr>
        <w:lastRenderedPageBreak/>
        <w:t xml:space="preserve">Seçim sonuçlarına duyuru tarihinden itibaren en </w:t>
      </w:r>
      <w:r w:rsidRPr="00FC5A8F">
        <w:rPr>
          <w:bCs/>
        </w:rPr>
        <w:t xml:space="preserve">geç 7 gün </w:t>
      </w:r>
      <w:r w:rsidRPr="00FC5A8F">
        <w:rPr>
          <w:bCs/>
          <w:color w:val="000000" w:themeColor="text1"/>
        </w:rPr>
        <w:t xml:space="preserve">içerisinde </w:t>
      </w:r>
      <w:proofErr w:type="spellStart"/>
      <w:r w:rsidRPr="00FC5A8F">
        <w:rPr>
          <w:bCs/>
          <w:color w:val="000000" w:themeColor="text1"/>
        </w:rPr>
        <w:t>Erasmus</w:t>
      </w:r>
      <w:proofErr w:type="spellEnd"/>
      <w:r w:rsidRPr="00FC5A8F">
        <w:rPr>
          <w:bCs/>
          <w:color w:val="000000" w:themeColor="text1"/>
        </w:rPr>
        <w:t xml:space="preserve">+ Kurum Koordinatörlüğüne yazılı olarak itiraz edilebilir. </w:t>
      </w:r>
      <w:r w:rsidRPr="00FC5A8F">
        <w:rPr>
          <w:color w:val="000000" w:themeColor="text1"/>
          <w:shd w:val="clear" w:color="auto" w:fill="FFFFFF"/>
        </w:rPr>
        <w:t>Kesin sonuçlar itirazların değerlendirilmesinden sonra güncellenebilir.</w:t>
      </w:r>
    </w:p>
    <w:p w:rsidR="00B63BFA" w:rsidRPr="00DD3601" w:rsidRDefault="00B63BFA" w:rsidP="00B63BFA">
      <w:pPr>
        <w:pStyle w:val="ListeParagraf"/>
        <w:numPr>
          <w:ilvl w:val="0"/>
          <w:numId w:val="1"/>
        </w:numPr>
        <w:spacing w:line="0" w:lineRule="atLeast"/>
        <w:jc w:val="both"/>
        <w:rPr>
          <w:bCs/>
        </w:rPr>
      </w:pPr>
      <w:r w:rsidRPr="00DD3601">
        <w:rPr>
          <w:bCs/>
        </w:rPr>
        <w:t>Yeşil pasaportu olmayan personelin vize almadan seyahat etmek istemesi durumunda, görevlendirme yazıları Rektörlük Makamınca onaylandıktan hemen sonra Personel İşleri Daire Başkanlığı ile iletişime geçmeleri ve gri pasaport için başvuruda bulunmaları gerekmektedir. Dönüş sonrasında gri pasaport tutanak karşılığı Personel İşleri Daire Başkanlığına iade edilmelidir. Gri pasaport alamayan personelin gideceği ülke için vize başvurusunda bulunması ve vize aldıktan sonra seyahat etmesi gerekir.</w:t>
      </w:r>
    </w:p>
    <w:p w:rsidR="00B63BFA" w:rsidRPr="00DD3601" w:rsidRDefault="00B63BFA" w:rsidP="00B63BFA">
      <w:pPr>
        <w:pStyle w:val="ListeParagraf"/>
        <w:numPr>
          <w:ilvl w:val="0"/>
          <w:numId w:val="1"/>
        </w:numPr>
        <w:spacing w:line="0" w:lineRule="atLeast"/>
        <w:jc w:val="both"/>
        <w:rPr>
          <w:bCs/>
        </w:rPr>
      </w:pPr>
      <w:r w:rsidRPr="00DD3601">
        <w:rPr>
          <w:bCs/>
        </w:rPr>
        <w:t xml:space="preserve">Görevlendirmeniz onaylanmadan ve </w:t>
      </w:r>
      <w:r>
        <w:rPr>
          <w:bCs/>
        </w:rPr>
        <w:t>K</w:t>
      </w:r>
      <w:r w:rsidRPr="00DD3601">
        <w:rPr>
          <w:bCs/>
        </w:rPr>
        <w:t xml:space="preserve">abul </w:t>
      </w:r>
      <w:r>
        <w:rPr>
          <w:bCs/>
        </w:rPr>
        <w:t>B</w:t>
      </w:r>
      <w:r w:rsidRPr="00DD3601">
        <w:rPr>
          <w:bCs/>
        </w:rPr>
        <w:t xml:space="preserve">elgesi ile </w:t>
      </w:r>
      <w:proofErr w:type="spellStart"/>
      <w:r w:rsidRPr="00DD3601">
        <w:rPr>
          <w:bCs/>
        </w:rPr>
        <w:t>Mobility</w:t>
      </w:r>
      <w:proofErr w:type="spellEnd"/>
      <w:r w:rsidRPr="00DD3601">
        <w:rPr>
          <w:bCs/>
        </w:rPr>
        <w:t xml:space="preserve"> </w:t>
      </w:r>
      <w:proofErr w:type="spellStart"/>
      <w:r w:rsidRPr="00DD3601">
        <w:rPr>
          <w:bCs/>
        </w:rPr>
        <w:t>Agreement</w:t>
      </w:r>
      <w:proofErr w:type="spellEnd"/>
      <w:r w:rsidRPr="00DD3601">
        <w:rPr>
          <w:bCs/>
        </w:rPr>
        <w:t xml:space="preserve"> formu gideceğiniz kurum tarafından onaylanmadan uçak bileti almayınız ve ülkeden ayrılmayınız.</w:t>
      </w:r>
    </w:p>
    <w:p w:rsidR="00B63BFA" w:rsidRPr="00DD3601" w:rsidRDefault="00B63BFA" w:rsidP="00B63BFA">
      <w:pPr>
        <w:pStyle w:val="ListeParagraf"/>
        <w:numPr>
          <w:ilvl w:val="0"/>
          <w:numId w:val="1"/>
        </w:numPr>
        <w:spacing w:line="0" w:lineRule="atLeast"/>
        <w:jc w:val="both"/>
        <w:rPr>
          <w:bCs/>
        </w:rPr>
      </w:pPr>
      <w:r w:rsidRPr="00DD3601">
        <w:rPr>
          <w:bCs/>
        </w:rPr>
        <w:t>Var olan her türlü pasaportunuzun geçerlilik süresini kontrol ediniz.</w:t>
      </w:r>
    </w:p>
    <w:p w:rsidR="00B63BFA" w:rsidRPr="00DD3601" w:rsidRDefault="00B63BFA" w:rsidP="00B63BFA">
      <w:pPr>
        <w:pStyle w:val="ListeParagraf"/>
        <w:numPr>
          <w:ilvl w:val="0"/>
          <w:numId w:val="1"/>
        </w:numPr>
        <w:spacing w:line="0" w:lineRule="atLeast"/>
        <w:jc w:val="both"/>
        <w:rPr>
          <w:bCs/>
        </w:rPr>
      </w:pPr>
      <w:r w:rsidRPr="00DD3601">
        <w:rPr>
          <w:bCs/>
        </w:rPr>
        <w:t>Tek başına seyahat edemeyecek engelli personellerin ofisimizle iletişime geçmesi gerekmektedir.</w:t>
      </w:r>
    </w:p>
    <w:p w:rsidR="00B63BFA" w:rsidRPr="00DD3601" w:rsidRDefault="00B63BFA" w:rsidP="00B63BFA">
      <w:pPr>
        <w:pStyle w:val="ListeParagraf"/>
        <w:numPr>
          <w:ilvl w:val="0"/>
          <w:numId w:val="1"/>
        </w:numPr>
        <w:spacing w:line="0" w:lineRule="atLeast"/>
        <w:jc w:val="both"/>
        <w:rPr>
          <w:bCs/>
        </w:rPr>
      </w:pPr>
      <w:proofErr w:type="spellStart"/>
      <w:r w:rsidRPr="00DD3601">
        <w:rPr>
          <w:bCs/>
        </w:rPr>
        <w:t>Erasmus</w:t>
      </w:r>
      <w:proofErr w:type="spellEnd"/>
      <w:r w:rsidRPr="00DD3601">
        <w:rPr>
          <w:bCs/>
        </w:rPr>
        <w:t>+ İkili Anlaşmasının olması personelin kabul edilmesini garantilemez. Ziyaret edeceğiniz kurumun, belirteceğiniz tarihlerde müsait olması ve programınızı kabul etmesi gerekmektedir.</w:t>
      </w:r>
    </w:p>
    <w:p w:rsidR="00B63BFA" w:rsidRDefault="00B63BFA" w:rsidP="00B63BFA">
      <w:pPr>
        <w:pStyle w:val="ListeParagraf"/>
        <w:numPr>
          <w:ilvl w:val="0"/>
          <w:numId w:val="1"/>
        </w:numPr>
        <w:spacing w:line="0" w:lineRule="atLeast"/>
        <w:jc w:val="both"/>
        <w:rPr>
          <w:bCs/>
        </w:rPr>
      </w:pPr>
      <w:r>
        <w:rPr>
          <w:bCs/>
        </w:rPr>
        <w:t>Programı kesinleşen personele 9</w:t>
      </w:r>
      <w:r w:rsidRPr="00DD3601">
        <w:rPr>
          <w:bCs/>
        </w:rPr>
        <w:t>00 avro avans ödenecek olup, kalan miktar dönüş sonrası tüm belgeler tamamlandıktan sonra yapılacaktır.</w:t>
      </w:r>
    </w:p>
    <w:p w:rsidR="00B63BFA" w:rsidRPr="00481089" w:rsidRDefault="00B63BFA" w:rsidP="00B63BFA">
      <w:pPr>
        <w:pStyle w:val="ListeParagraf"/>
        <w:numPr>
          <w:ilvl w:val="0"/>
          <w:numId w:val="1"/>
        </w:numPr>
        <w:spacing w:before="100" w:beforeAutospacing="1" w:after="100" w:afterAutospacing="1"/>
        <w:jc w:val="both"/>
        <w:rPr>
          <w:bCs/>
        </w:rPr>
      </w:pPr>
      <w:r w:rsidRPr="00481089">
        <w:rPr>
          <w:bCs/>
        </w:rPr>
        <w:t xml:space="preserve">Personelimize 4 iş günü artı 2 gün seyahat olmak üzere toplamda 6 gün gündelik ödeme yapılacaktır.  </w:t>
      </w:r>
    </w:p>
    <w:p w:rsidR="00B63BFA" w:rsidRPr="00DD3601" w:rsidRDefault="00B63BFA" w:rsidP="00B63BFA">
      <w:pPr>
        <w:pStyle w:val="ListeParagraf"/>
        <w:spacing w:line="0" w:lineRule="atLeast"/>
        <w:jc w:val="both"/>
        <w:rPr>
          <w:bCs/>
        </w:rPr>
      </w:pPr>
    </w:p>
    <w:p w:rsidR="00B63BFA" w:rsidRPr="00192FE8" w:rsidRDefault="00B63BFA" w:rsidP="00B63BFA">
      <w:pPr>
        <w:shd w:val="clear" w:color="auto" w:fill="FFFFFF"/>
        <w:spacing w:before="120" w:after="120" w:line="295" w:lineRule="atLeast"/>
        <w:rPr>
          <w:b/>
        </w:rPr>
      </w:pPr>
      <w:r w:rsidRPr="00192FE8">
        <w:rPr>
          <w:b/>
        </w:rPr>
        <w:t>Hibe miktarları aşağıdaki tabloda yer almaktadır:</w:t>
      </w:r>
    </w:p>
    <w:p w:rsidR="00B63BFA" w:rsidRDefault="00B63BFA" w:rsidP="00B63BFA">
      <w:pPr>
        <w:shd w:val="clear" w:color="auto" w:fill="FFFFFF"/>
        <w:spacing w:before="120" w:after="120" w:line="295" w:lineRule="atLeast"/>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5"/>
        <w:gridCol w:w="3930"/>
        <w:gridCol w:w="1845"/>
      </w:tblGrid>
      <w:tr w:rsidR="00B63BFA" w:rsidRPr="00705CD6" w:rsidTr="005A4D2A">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705CD6" w:rsidRDefault="00B63BFA" w:rsidP="005A4D2A">
            <w:pPr>
              <w:spacing w:line="0" w:lineRule="atLeast"/>
              <w:rPr>
                <w:b/>
              </w:rPr>
            </w:pPr>
            <w:r w:rsidRPr="00705CD6">
              <w:rPr>
                <w:b/>
              </w:rPr>
              <w:br/>
            </w:r>
            <w:r w:rsidRPr="00705CD6">
              <w:rPr>
                <w:b/>
                <w:bCs/>
              </w:rPr>
              <w:t>Ülke Grupları</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705CD6" w:rsidRDefault="00B63BFA" w:rsidP="005A4D2A">
            <w:pPr>
              <w:spacing w:line="0" w:lineRule="atLeast"/>
              <w:jc w:val="center"/>
              <w:rPr>
                <w:b/>
              </w:rPr>
            </w:pPr>
            <w:r w:rsidRPr="00705CD6">
              <w:rPr>
                <w:b/>
                <w:bCs/>
              </w:rPr>
              <w:t>Hareketlilikte Gidilen Ülkeler</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705CD6" w:rsidRDefault="00B63BFA" w:rsidP="005A4D2A">
            <w:pPr>
              <w:spacing w:line="0" w:lineRule="atLeast"/>
              <w:jc w:val="center"/>
              <w:rPr>
                <w:b/>
              </w:rPr>
            </w:pPr>
            <w:r w:rsidRPr="00705CD6">
              <w:rPr>
                <w:b/>
                <w:bCs/>
              </w:rPr>
              <w:t>Günlük Hibe Miktarları (€)</w:t>
            </w:r>
          </w:p>
        </w:tc>
      </w:tr>
      <w:tr w:rsidR="00B63BFA" w:rsidRPr="00705CD6" w:rsidTr="005A4D2A">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705CD6" w:rsidRDefault="00B63BFA" w:rsidP="005A4D2A">
            <w:pPr>
              <w:spacing w:line="0" w:lineRule="atLeast"/>
              <w:jc w:val="center"/>
              <w:rPr>
                <w:b/>
              </w:rPr>
            </w:pPr>
            <w:r w:rsidRPr="00705CD6">
              <w:t>1. Grup Program Ülkeleri</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705CD6" w:rsidRDefault="00B63BFA" w:rsidP="005A4D2A">
            <w:pPr>
              <w:spacing w:line="0" w:lineRule="atLeast"/>
              <w:jc w:val="center"/>
            </w:pPr>
            <w:r w:rsidRPr="00705CD6">
              <w:t>Danimarka, Finlandiya, İrlanda,  İsveç, İzlanda,  Lihtenştayn, Lüksemburg, Norveç</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705CD6" w:rsidRDefault="00B63BFA" w:rsidP="005A4D2A">
            <w:pPr>
              <w:spacing w:line="0" w:lineRule="atLeast"/>
              <w:jc w:val="center"/>
              <w:rPr>
                <w:b/>
              </w:rPr>
            </w:pPr>
            <w:r>
              <w:rPr>
                <w:b/>
              </w:rPr>
              <w:t>162</w:t>
            </w:r>
          </w:p>
        </w:tc>
      </w:tr>
      <w:tr w:rsidR="00B63BFA" w:rsidRPr="00705CD6" w:rsidTr="005A4D2A">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705CD6" w:rsidRDefault="00B63BFA" w:rsidP="005A4D2A">
            <w:pPr>
              <w:spacing w:line="0" w:lineRule="atLeast"/>
              <w:jc w:val="center"/>
              <w:rPr>
                <w:b/>
              </w:rPr>
            </w:pPr>
            <w:r w:rsidRPr="00705CD6">
              <w:t>2. Grup Program Ülkeleri</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705CD6" w:rsidRDefault="00B63BFA" w:rsidP="005A4D2A">
            <w:pPr>
              <w:spacing w:line="0" w:lineRule="atLeast"/>
              <w:jc w:val="center"/>
            </w:pPr>
            <w:r w:rsidRPr="00705CD6">
              <w:t>Almanya, Avusturya, Belçika, Fransa, Güney Kıbrıs, Hollanda, İspanya, İtalya, Malta, Portekiz, Yunanistan</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705CD6" w:rsidRDefault="00B63BFA" w:rsidP="005A4D2A">
            <w:pPr>
              <w:spacing w:line="0" w:lineRule="atLeast"/>
              <w:jc w:val="center"/>
              <w:rPr>
                <w:b/>
              </w:rPr>
            </w:pPr>
            <w:r>
              <w:rPr>
                <w:b/>
              </w:rPr>
              <w:t>144</w:t>
            </w:r>
          </w:p>
        </w:tc>
      </w:tr>
      <w:tr w:rsidR="00B63BFA" w:rsidRPr="00705CD6" w:rsidTr="005A4D2A">
        <w:trPr>
          <w:tblCellSpacing w:w="0" w:type="dxa"/>
          <w:jc w:val="center"/>
        </w:trPr>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705CD6" w:rsidRDefault="00B63BFA" w:rsidP="005A4D2A">
            <w:pPr>
              <w:spacing w:line="0" w:lineRule="atLeast"/>
              <w:jc w:val="center"/>
              <w:rPr>
                <w:b/>
              </w:rPr>
            </w:pPr>
            <w:r w:rsidRPr="00705CD6">
              <w:t>3. Grup Program Ülkeleri</w:t>
            </w:r>
          </w:p>
        </w:tc>
        <w:tc>
          <w:tcPr>
            <w:tcW w:w="3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705CD6" w:rsidRDefault="00B63BFA" w:rsidP="005A4D2A">
            <w:pPr>
              <w:spacing w:line="0" w:lineRule="atLeast"/>
              <w:jc w:val="center"/>
            </w:pPr>
            <w:r w:rsidRPr="00705CD6">
              <w:t xml:space="preserve">Bulgaristan, Çek Cumhuriyeti, Estonya, Hırvatistan, Letonya, Litvanya, Macaristan, Makedonya, Polonya, Romanya, Slovakya, Sırbistan, Slovenya, Türkiye </w:t>
            </w:r>
            <w:r w:rsidRPr="00705CD6">
              <w:rPr>
                <w:i/>
              </w:rPr>
              <w:t>*</w:t>
            </w:r>
            <w:r w:rsidRPr="00705CD6">
              <w:t>,</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705CD6" w:rsidRDefault="00B63BFA" w:rsidP="005A4D2A">
            <w:pPr>
              <w:spacing w:line="0" w:lineRule="atLeast"/>
              <w:jc w:val="center"/>
              <w:rPr>
                <w:b/>
              </w:rPr>
            </w:pPr>
            <w:r>
              <w:rPr>
                <w:b/>
              </w:rPr>
              <w:t>126</w:t>
            </w:r>
          </w:p>
        </w:tc>
      </w:tr>
    </w:tbl>
    <w:p w:rsidR="00B63BFA" w:rsidRPr="00DD3601" w:rsidRDefault="00B63BFA" w:rsidP="00B63BFA">
      <w:pPr>
        <w:shd w:val="clear" w:color="auto" w:fill="FFFFFF"/>
        <w:spacing w:before="120" w:after="120" w:line="295" w:lineRule="atLeast"/>
      </w:pPr>
    </w:p>
    <w:p w:rsidR="00B63BFA" w:rsidRPr="003D6ACB" w:rsidRDefault="00B63BFA" w:rsidP="00B63BFA">
      <w:pPr>
        <w:shd w:val="clear" w:color="auto" w:fill="FFFFFF"/>
        <w:spacing w:line="295" w:lineRule="atLeast"/>
        <w:jc w:val="both"/>
      </w:pPr>
      <w:r w:rsidRPr="00DD3601">
        <w:t xml:space="preserve">- </w:t>
      </w:r>
      <w:r w:rsidRPr="003D6ACB">
        <w:t xml:space="preserve">Personel hareketliliğine ilişkin seyahat ücretleri Avrupa Komisyonu Teklif Çağrısında belirtilen "Mesafe Hesaplayıcı" ya göre verilecektir:  </w:t>
      </w:r>
    </w:p>
    <w:p w:rsidR="00B63BFA" w:rsidRPr="003D6ACB" w:rsidRDefault="00B63BFA" w:rsidP="00B63BFA">
      <w:pPr>
        <w:shd w:val="clear" w:color="auto" w:fill="FFFFFF"/>
        <w:spacing w:line="295" w:lineRule="atLeast"/>
        <w:jc w:val="both"/>
      </w:pPr>
      <w:hyperlink r:id="rId7" w:history="1">
        <w:r w:rsidRPr="003D6ACB">
          <w:rPr>
            <w:rStyle w:val="Kpr"/>
          </w:rPr>
          <w:t>http://ec.europa.eu/programmes/erasmus-plus/tools/distance_en.htm</w:t>
        </w:r>
      </w:hyperlink>
    </w:p>
    <w:p w:rsidR="00B63BFA" w:rsidRPr="00DD3601" w:rsidRDefault="00B63BFA" w:rsidP="00B63BFA">
      <w:pPr>
        <w:shd w:val="clear" w:color="auto" w:fill="FFFFFF"/>
        <w:spacing w:line="295" w:lineRule="atLeast"/>
        <w:jc w:val="both"/>
      </w:pPr>
      <w:r w:rsidRPr="003D6ACB">
        <w:t>-   Personelin yerleşik olduğu yerden faaliyet yerine kadar olan 2 nokta</w:t>
      </w:r>
      <w:r w:rsidRPr="00DD3601">
        <w:t xml:space="preserve"> arası hesaplanır.</w:t>
      </w:r>
    </w:p>
    <w:p w:rsidR="00B63BFA" w:rsidRPr="00DD3601" w:rsidRDefault="00B63BFA" w:rsidP="00B63BFA">
      <w:pPr>
        <w:shd w:val="clear" w:color="auto" w:fill="FFFFFF"/>
        <w:spacing w:line="295" w:lineRule="atLeast"/>
        <w:jc w:val="both"/>
        <w:rPr>
          <w:u w:val="single"/>
        </w:rPr>
      </w:pPr>
      <w:r w:rsidRPr="00DD3601">
        <w:rPr>
          <w:u w:val="single"/>
        </w:rPr>
        <w:t>Personelin aktarmalı olarak seyahat etmesi yukarıda belirtilen mesafe hesaplaması ile varılan mesafeyi etkilemez.</w:t>
      </w:r>
    </w:p>
    <w:p w:rsidR="00B63BFA" w:rsidRDefault="00B63BFA" w:rsidP="00B63BFA">
      <w:pPr>
        <w:shd w:val="clear" w:color="auto" w:fill="FFFFFF"/>
        <w:spacing w:line="295" w:lineRule="atLeast"/>
        <w:jc w:val="both"/>
      </w:pPr>
    </w:p>
    <w:p w:rsidR="00B63BFA" w:rsidRDefault="00B63BFA" w:rsidP="00B63BFA">
      <w:pPr>
        <w:shd w:val="clear" w:color="auto" w:fill="FFFFFF"/>
        <w:spacing w:line="295" w:lineRule="atLeast"/>
        <w:jc w:val="both"/>
      </w:pPr>
    </w:p>
    <w:p w:rsidR="00B63BFA" w:rsidRDefault="00B63BFA" w:rsidP="00B63BFA">
      <w:pPr>
        <w:shd w:val="clear" w:color="auto" w:fill="FFFFFF"/>
        <w:spacing w:line="295" w:lineRule="atLeast"/>
        <w:jc w:val="both"/>
      </w:pPr>
    </w:p>
    <w:p w:rsidR="00B63BFA" w:rsidRDefault="00B63BFA" w:rsidP="00B63BFA">
      <w:pPr>
        <w:shd w:val="clear" w:color="auto" w:fill="FFFFFF"/>
        <w:spacing w:line="295" w:lineRule="atLeast"/>
        <w:jc w:val="both"/>
      </w:pPr>
    </w:p>
    <w:p w:rsidR="00B63BFA" w:rsidRDefault="00B63BFA" w:rsidP="00B63BFA">
      <w:pPr>
        <w:shd w:val="clear" w:color="auto" w:fill="FFFFFF"/>
        <w:spacing w:line="295" w:lineRule="atLeast"/>
        <w:jc w:val="both"/>
      </w:pPr>
    </w:p>
    <w:p w:rsidR="00B63BFA" w:rsidRDefault="00B63BFA" w:rsidP="00B63BFA">
      <w:pPr>
        <w:shd w:val="clear" w:color="auto" w:fill="FFFFFF"/>
        <w:spacing w:line="295" w:lineRule="atLeast"/>
        <w:jc w:val="both"/>
      </w:pPr>
    </w:p>
    <w:p w:rsidR="00B63BFA" w:rsidRDefault="00B63BFA" w:rsidP="00B63BFA">
      <w:pPr>
        <w:shd w:val="clear" w:color="auto" w:fill="FFFFFF"/>
        <w:spacing w:line="295" w:lineRule="atLeast"/>
        <w:jc w:val="both"/>
      </w:pPr>
    </w:p>
    <w:p w:rsidR="00B63BFA" w:rsidRDefault="00B63BFA" w:rsidP="00B63BFA">
      <w:pPr>
        <w:shd w:val="clear" w:color="auto" w:fill="FFFFFF"/>
        <w:spacing w:line="295" w:lineRule="atLeast"/>
        <w:jc w:val="both"/>
      </w:pPr>
    </w:p>
    <w:p w:rsidR="00B63BFA" w:rsidRPr="00DD3601" w:rsidRDefault="00B63BFA" w:rsidP="00B63BFA">
      <w:pPr>
        <w:shd w:val="clear" w:color="auto" w:fill="FFFFFF"/>
        <w:spacing w:line="295" w:lineRule="atLeast"/>
        <w:jc w:val="both"/>
      </w:pP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5"/>
        <w:gridCol w:w="2340"/>
      </w:tblGrid>
      <w:tr w:rsidR="00B63BFA" w:rsidRPr="00DD3601" w:rsidTr="005A4D2A">
        <w:trPr>
          <w:tblCellSpacing w:w="15"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line="295" w:lineRule="atLeast"/>
              <w:rPr>
                <w:b/>
              </w:rPr>
            </w:pPr>
            <w:r w:rsidRPr="00DD3601">
              <w:rPr>
                <w:b/>
              </w:rPr>
              <w:br/>
            </w:r>
            <w:r w:rsidRPr="00DD3601">
              <w:rPr>
                <w:b/>
                <w:bCs/>
              </w:rPr>
              <w:t>Mesafe</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line="295" w:lineRule="atLeast"/>
              <w:jc w:val="center"/>
              <w:rPr>
                <w:b/>
              </w:rPr>
            </w:pPr>
            <w:r w:rsidRPr="00DD3601">
              <w:rPr>
                <w:b/>
                <w:bCs/>
              </w:rPr>
              <w:t>Verilecek Hibe </w:t>
            </w:r>
            <w:r w:rsidRPr="00DD3601">
              <w:rPr>
                <w:b/>
                <w:bCs/>
              </w:rPr>
              <w:br/>
              <w:t>Miktarı</w:t>
            </w:r>
          </w:p>
        </w:tc>
      </w:tr>
      <w:tr w:rsidR="00B63BFA" w:rsidRPr="00DD3601" w:rsidTr="005A4D2A">
        <w:trPr>
          <w:tblCellSpacing w:w="15"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line="295" w:lineRule="atLeast"/>
              <w:jc w:val="center"/>
            </w:pPr>
            <w:r w:rsidRPr="00DD3601">
              <w:t>10-99</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line="295" w:lineRule="atLeast"/>
              <w:jc w:val="center"/>
              <w:rPr>
                <w:bCs/>
              </w:rPr>
            </w:pPr>
            <w:r>
              <w:rPr>
                <w:bCs/>
              </w:rPr>
              <w:t>23</w:t>
            </w:r>
            <w:r w:rsidRPr="00DD3601">
              <w:t>€</w:t>
            </w:r>
          </w:p>
        </w:tc>
      </w:tr>
      <w:tr w:rsidR="00B63BFA" w:rsidRPr="00DD3601" w:rsidTr="005A4D2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before="120" w:after="120" w:line="295" w:lineRule="atLeast"/>
              <w:jc w:val="center"/>
            </w:pPr>
            <w:r w:rsidRPr="00DD3601">
              <w:t>100-499 KM arası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before="120" w:after="120" w:line="295" w:lineRule="atLeast"/>
              <w:jc w:val="center"/>
            </w:pPr>
            <w:r w:rsidRPr="00DD3601">
              <w:t>180 €</w:t>
            </w:r>
          </w:p>
        </w:tc>
      </w:tr>
      <w:tr w:rsidR="00B63BFA" w:rsidRPr="00DD3601" w:rsidTr="005A4D2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before="120" w:after="120" w:line="295" w:lineRule="atLeast"/>
              <w:jc w:val="center"/>
            </w:pPr>
            <w:r w:rsidRPr="00DD3601">
              <w:t>500-1999 KM arası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before="120" w:after="120" w:line="295" w:lineRule="atLeast"/>
              <w:jc w:val="center"/>
            </w:pPr>
            <w:r w:rsidRPr="00DD3601">
              <w:t>275 €</w:t>
            </w:r>
          </w:p>
        </w:tc>
      </w:tr>
      <w:tr w:rsidR="00B63BFA" w:rsidRPr="00DD3601" w:rsidTr="005A4D2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before="120" w:after="120" w:line="295" w:lineRule="atLeast"/>
              <w:jc w:val="center"/>
            </w:pPr>
            <w:r w:rsidRPr="00DD3601">
              <w:t>2000-2999 KM arası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before="120" w:after="120" w:line="295" w:lineRule="atLeast"/>
              <w:jc w:val="center"/>
            </w:pPr>
            <w:r w:rsidRPr="00DD3601">
              <w:t>360 €</w:t>
            </w:r>
          </w:p>
        </w:tc>
      </w:tr>
      <w:tr w:rsidR="00B63BFA" w:rsidRPr="00DD3601" w:rsidTr="005A4D2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before="120" w:after="120" w:line="295" w:lineRule="atLeast"/>
              <w:jc w:val="center"/>
            </w:pPr>
            <w:r w:rsidRPr="00DD3601">
              <w:t>3000-3999 KM arası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before="120" w:after="120" w:line="295" w:lineRule="atLeast"/>
              <w:jc w:val="center"/>
            </w:pPr>
            <w:r w:rsidRPr="00DD3601">
              <w:t>530 €</w:t>
            </w:r>
          </w:p>
        </w:tc>
      </w:tr>
      <w:tr w:rsidR="00B63BFA" w:rsidRPr="00DD3601" w:rsidTr="005A4D2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before="120" w:after="120" w:line="295" w:lineRule="atLeast"/>
              <w:jc w:val="center"/>
            </w:pPr>
            <w:r w:rsidRPr="00DD3601">
              <w:t>4000-7999 KM arası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before="120" w:after="120" w:line="295" w:lineRule="atLeast"/>
              <w:jc w:val="center"/>
            </w:pPr>
            <w:r w:rsidRPr="00DD3601">
              <w:t>820 €</w:t>
            </w:r>
          </w:p>
        </w:tc>
      </w:tr>
      <w:tr w:rsidR="00B63BFA" w:rsidRPr="00DD3601" w:rsidTr="005A4D2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before="120" w:after="120" w:line="295" w:lineRule="atLeast"/>
              <w:jc w:val="center"/>
            </w:pPr>
            <w:r w:rsidRPr="00DD3601">
              <w:t>8000 ve üzeri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BFA" w:rsidRPr="00DD3601" w:rsidRDefault="00B63BFA" w:rsidP="005A4D2A">
            <w:pPr>
              <w:spacing w:before="120" w:after="120" w:line="295" w:lineRule="atLeast"/>
              <w:jc w:val="center"/>
            </w:pPr>
            <w:r w:rsidRPr="00DD3601">
              <w:t>1.500 €</w:t>
            </w:r>
          </w:p>
        </w:tc>
      </w:tr>
    </w:tbl>
    <w:p w:rsidR="00B63BFA" w:rsidRPr="00DD3601" w:rsidRDefault="00B63BFA" w:rsidP="00B63BFA"/>
    <w:p w:rsidR="00B63BFA" w:rsidRPr="0002443C" w:rsidRDefault="00B63BFA" w:rsidP="00B63BFA">
      <w:pPr>
        <w:shd w:val="clear" w:color="auto" w:fill="FFFFFF"/>
        <w:spacing w:line="0" w:lineRule="atLeast"/>
        <w:jc w:val="both"/>
      </w:pPr>
      <w:r w:rsidRPr="00946421">
        <w:t xml:space="preserve">Ödeme ve program içeriği ile ilgili detaylı bilgiyi </w:t>
      </w:r>
      <w:hyperlink r:id="rId8" w:history="1">
        <w:r w:rsidRPr="00946421">
          <w:rPr>
            <w:rStyle w:val="Kpr"/>
          </w:rPr>
          <w:t>http://erasmus.gantep.edu.tr/</w:t>
        </w:r>
      </w:hyperlink>
      <w:r w:rsidRPr="00946421">
        <w:t xml:space="preserve"> web sitemizde bulunan 2020/2021 Uygulama El Kitabında bulabilirsiniz. Sürelerin hesaplanması, ödemelerin hesaplanması ve kesintilerin yapılması bu kitapçık kuralları çerçevesinde yapılmaktadır.</w:t>
      </w:r>
    </w:p>
    <w:p w:rsidR="00B63BFA" w:rsidRPr="00DD3601" w:rsidRDefault="00B63BFA" w:rsidP="00B63BFA">
      <w:pPr>
        <w:spacing w:before="100" w:beforeAutospacing="1" w:after="100" w:afterAutospacing="1"/>
        <w:jc w:val="both"/>
        <w:rPr>
          <w:b/>
          <w:bCs/>
          <w:u w:val="single"/>
        </w:rPr>
      </w:pPr>
      <w:r w:rsidRPr="00DD3601">
        <w:rPr>
          <w:b/>
          <w:bCs/>
          <w:u w:val="single"/>
        </w:rPr>
        <w:t>Döndükten Sonra Yapılması Gerekenler</w:t>
      </w:r>
    </w:p>
    <w:p w:rsidR="00B63BFA" w:rsidRPr="00DD3601" w:rsidRDefault="00B63BFA" w:rsidP="00B63BFA">
      <w:pPr>
        <w:pStyle w:val="ListeParagraf"/>
        <w:numPr>
          <w:ilvl w:val="0"/>
          <w:numId w:val="2"/>
        </w:numPr>
        <w:spacing w:before="100" w:beforeAutospacing="1" w:after="100" w:afterAutospacing="1"/>
        <w:jc w:val="both"/>
        <w:rPr>
          <w:bCs/>
        </w:rPr>
      </w:pPr>
      <w:r w:rsidRPr="00DD3601">
        <w:rPr>
          <w:bCs/>
        </w:rPr>
        <w:t xml:space="preserve">Uçak </w:t>
      </w:r>
      <w:r w:rsidRPr="00DD3601">
        <w:rPr>
          <w:b/>
          <w:bCs/>
        </w:rPr>
        <w:t>biniş kartlarınız</w:t>
      </w:r>
    </w:p>
    <w:p w:rsidR="00B63BFA" w:rsidRPr="00DD3601" w:rsidRDefault="00B63BFA" w:rsidP="00B63BFA">
      <w:pPr>
        <w:pStyle w:val="ListeParagraf"/>
        <w:numPr>
          <w:ilvl w:val="0"/>
          <w:numId w:val="2"/>
        </w:numPr>
        <w:spacing w:before="100" w:beforeAutospacing="1" w:after="100" w:afterAutospacing="1"/>
        <w:jc w:val="both"/>
        <w:rPr>
          <w:bCs/>
        </w:rPr>
      </w:pPr>
      <w:r w:rsidRPr="00DD3601">
        <w:rPr>
          <w:bCs/>
        </w:rPr>
        <w:t>Karşı kurumdan almış olduğunuz “</w:t>
      </w:r>
      <w:r w:rsidRPr="00DD3601">
        <w:rPr>
          <w:b/>
          <w:bCs/>
        </w:rPr>
        <w:t>Katılım Sertifikası</w:t>
      </w:r>
      <w:r w:rsidRPr="00DD3601">
        <w:rPr>
          <w:bCs/>
        </w:rPr>
        <w:t>” faaliyetinizin (4 iş günü) tarihlerini gösteren.</w:t>
      </w:r>
    </w:p>
    <w:p w:rsidR="00B63BFA" w:rsidRPr="00B153E7" w:rsidRDefault="00B63BFA" w:rsidP="00B63BFA">
      <w:pPr>
        <w:pStyle w:val="ListeParagraf"/>
        <w:numPr>
          <w:ilvl w:val="0"/>
          <w:numId w:val="2"/>
        </w:numPr>
        <w:spacing w:before="100" w:beforeAutospacing="1" w:after="100" w:afterAutospacing="1"/>
        <w:jc w:val="both"/>
      </w:pPr>
      <w:r w:rsidRPr="00DD3601">
        <w:rPr>
          <w:bCs/>
        </w:rPr>
        <w:t xml:space="preserve">Faaliyeti tamamladıktan sonra e-posta adreslerinize </w:t>
      </w:r>
      <w:proofErr w:type="spellStart"/>
      <w:r w:rsidR="00A968B1">
        <w:rPr>
          <w:bCs/>
        </w:rPr>
        <w:t>Erasmus</w:t>
      </w:r>
      <w:proofErr w:type="spellEnd"/>
      <w:r w:rsidR="00A968B1">
        <w:rPr>
          <w:bCs/>
        </w:rPr>
        <w:t xml:space="preserve">+ Hareketlilik Aracı </w:t>
      </w:r>
      <w:r w:rsidRPr="00DD3601">
        <w:rPr>
          <w:bCs/>
        </w:rPr>
        <w:t xml:space="preserve">tarafından </w:t>
      </w:r>
      <w:r w:rsidR="002A76EE">
        <w:rPr>
          <w:b/>
          <w:bCs/>
        </w:rPr>
        <w:t>K</w:t>
      </w:r>
      <w:r w:rsidR="002A76EE" w:rsidRPr="002A76EE">
        <w:rPr>
          <w:b/>
          <w:bCs/>
        </w:rPr>
        <w:t>atılımcı raporu</w:t>
      </w:r>
      <w:r w:rsidR="00A968B1" w:rsidRPr="002A76EE">
        <w:rPr>
          <w:b/>
          <w:bCs/>
        </w:rPr>
        <w:t>/</w:t>
      </w:r>
      <w:proofErr w:type="spellStart"/>
      <w:r w:rsidR="00A968B1">
        <w:rPr>
          <w:b/>
          <w:bCs/>
        </w:rPr>
        <w:t>Participant</w:t>
      </w:r>
      <w:proofErr w:type="spellEnd"/>
      <w:r w:rsidR="00A968B1">
        <w:rPr>
          <w:b/>
          <w:bCs/>
        </w:rPr>
        <w:t xml:space="preserve"> </w:t>
      </w:r>
      <w:proofErr w:type="spellStart"/>
      <w:r w:rsidR="00A968B1">
        <w:rPr>
          <w:b/>
          <w:bCs/>
        </w:rPr>
        <w:t>report</w:t>
      </w:r>
      <w:proofErr w:type="spellEnd"/>
      <w:r w:rsidRPr="00DD3601">
        <w:rPr>
          <w:bCs/>
        </w:rPr>
        <w:t xml:space="preserve"> gönderilecektir. Bu raporun </w:t>
      </w:r>
      <w:r w:rsidR="0014443C">
        <w:rPr>
          <w:bCs/>
        </w:rPr>
        <w:t>elektronik ortamda tamamlanması gerekmektedir.</w:t>
      </w:r>
      <w:r w:rsidRPr="00DD3601">
        <w:rPr>
          <w:bCs/>
        </w:rPr>
        <w:t xml:space="preserve"> </w:t>
      </w:r>
    </w:p>
    <w:p w:rsidR="00B63BFA" w:rsidRPr="009A35A2" w:rsidRDefault="00B63BFA" w:rsidP="00B63BFA">
      <w:pPr>
        <w:pStyle w:val="ListeParagraf"/>
        <w:numPr>
          <w:ilvl w:val="0"/>
          <w:numId w:val="2"/>
        </w:numPr>
        <w:spacing w:line="0" w:lineRule="atLeast"/>
        <w:jc w:val="both"/>
        <w:rPr>
          <w:bCs/>
        </w:rPr>
      </w:pPr>
      <w:r w:rsidRPr="009A35A2">
        <w:rPr>
          <w:bCs/>
        </w:rPr>
        <w:t>Dönüş sonrası, katılımcı raporunu tamamlamayan</w:t>
      </w:r>
      <w:r>
        <w:rPr>
          <w:bCs/>
        </w:rPr>
        <w:t xml:space="preserve"> (madde 3’te belirtilen)</w:t>
      </w:r>
      <w:r w:rsidRPr="009A35A2">
        <w:rPr>
          <w:bCs/>
        </w:rPr>
        <w:t>, belgeleri eksik olan veya programı gerçekleştirdiğini belgeleyemeyen personellerden Uygulama El Kitabında belirtilen kurallar çerçevesinde kesinti yapılır veya hibenin tamamının iade edilmesi istenebilir.</w:t>
      </w:r>
    </w:p>
    <w:p w:rsidR="004C369A" w:rsidRDefault="004C369A" w:rsidP="00B63BFA">
      <w:pPr>
        <w:jc w:val="both"/>
      </w:pPr>
    </w:p>
    <w:p w:rsidR="00B63BFA" w:rsidRDefault="00B63BFA" w:rsidP="00B63BFA">
      <w:pPr>
        <w:jc w:val="both"/>
      </w:pPr>
      <w:bookmarkStart w:id="0" w:name="_GoBack"/>
      <w:bookmarkEnd w:id="0"/>
      <w:r>
        <w:t>“</w:t>
      </w:r>
      <w:r w:rsidRPr="00192FE8">
        <w:t>Bu başvuruların değerlendirilmesi ve nihai kararı aşamasında, değerlendirmeyi yapan personel ile başvuru sahipleri arasında değerlendirmeyi yapan personelin tarafsızlığını etkileyebilecek herhangi bir kişisel ilişki bulunmamaktadır. Karar, tarafsızlık ve şeffaflık kurallarına uygun bir şekilde verilmiştir.</w:t>
      </w:r>
      <w:r>
        <w:t>”</w:t>
      </w:r>
    </w:p>
    <w:p w:rsidR="00190B4A" w:rsidRPr="00192FE8" w:rsidRDefault="00190B4A" w:rsidP="00190B4A">
      <w:pPr>
        <w:pStyle w:val="ListeParagraf"/>
        <w:spacing w:before="100" w:beforeAutospacing="1" w:after="100" w:afterAutospacing="1"/>
        <w:jc w:val="both"/>
        <w:rPr>
          <w:b/>
        </w:rPr>
      </w:pPr>
      <w:r w:rsidRPr="00192FE8">
        <w:rPr>
          <w:b/>
          <w:bCs/>
        </w:rPr>
        <w:t>Uluslararası İlişkiler Ofisi</w:t>
      </w:r>
    </w:p>
    <w:sectPr w:rsidR="00190B4A" w:rsidRPr="00192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5C83"/>
    <w:multiLevelType w:val="hybridMultilevel"/>
    <w:tmpl w:val="844AAAF4"/>
    <w:lvl w:ilvl="0" w:tplc="297266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335695"/>
    <w:multiLevelType w:val="hybridMultilevel"/>
    <w:tmpl w:val="F8D0E09C"/>
    <w:lvl w:ilvl="0" w:tplc="66A41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06"/>
    <w:rsid w:val="0014443C"/>
    <w:rsid w:val="00190B4A"/>
    <w:rsid w:val="0024561B"/>
    <w:rsid w:val="002A76EE"/>
    <w:rsid w:val="00443743"/>
    <w:rsid w:val="004C0F1A"/>
    <w:rsid w:val="004C369A"/>
    <w:rsid w:val="004C4973"/>
    <w:rsid w:val="005E4A7A"/>
    <w:rsid w:val="006C1FC9"/>
    <w:rsid w:val="006D5A3F"/>
    <w:rsid w:val="00846A06"/>
    <w:rsid w:val="008E7471"/>
    <w:rsid w:val="00A968B1"/>
    <w:rsid w:val="00B63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3BFA"/>
    <w:pPr>
      <w:ind w:left="720"/>
      <w:contextualSpacing/>
    </w:pPr>
  </w:style>
  <w:style w:type="character" w:styleId="Kpr">
    <w:name w:val="Hyperlink"/>
    <w:basedOn w:val="VarsaylanParagrafYazTipi"/>
    <w:uiPriority w:val="99"/>
    <w:unhideWhenUsed/>
    <w:rsid w:val="00B63BFA"/>
    <w:rPr>
      <w:color w:val="0000FF" w:themeColor="hyperlink"/>
      <w:u w:val="single"/>
    </w:rPr>
  </w:style>
  <w:style w:type="character" w:styleId="zlenenKpr">
    <w:name w:val="FollowedHyperlink"/>
    <w:basedOn w:val="VarsaylanParagrafYazTipi"/>
    <w:uiPriority w:val="99"/>
    <w:semiHidden/>
    <w:unhideWhenUsed/>
    <w:rsid w:val="006D5A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3BFA"/>
    <w:pPr>
      <w:ind w:left="720"/>
      <w:contextualSpacing/>
    </w:pPr>
  </w:style>
  <w:style w:type="character" w:styleId="Kpr">
    <w:name w:val="Hyperlink"/>
    <w:basedOn w:val="VarsaylanParagrafYazTipi"/>
    <w:uiPriority w:val="99"/>
    <w:unhideWhenUsed/>
    <w:rsid w:val="00B63BFA"/>
    <w:rPr>
      <w:color w:val="0000FF" w:themeColor="hyperlink"/>
      <w:u w:val="single"/>
    </w:rPr>
  </w:style>
  <w:style w:type="character" w:styleId="zlenenKpr">
    <w:name w:val="FollowedHyperlink"/>
    <w:basedOn w:val="VarsaylanParagrafYazTipi"/>
    <w:uiPriority w:val="99"/>
    <w:semiHidden/>
    <w:unhideWhenUsed/>
    <w:rsid w:val="006D5A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gantep.edu.tr/" TargetMode="External"/><Relationship Id="rId3" Type="http://schemas.microsoft.com/office/2007/relationships/stylesWithEffects" Target="stylesWithEffects.xml"/><Relationship Id="rId7" Type="http://schemas.openxmlformats.org/officeDocument/2006/relationships/hyperlink" Target="http://ec.europa.eu/programmes/erasmus-plus/tools/distance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asmus.gantep.edu.tr/duyuru.php?id=15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2023-05-17T12:09:00Z</dcterms:created>
  <dcterms:modified xsi:type="dcterms:W3CDTF">2023-05-17T12:21:00Z</dcterms:modified>
</cp:coreProperties>
</file>