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D8" w:rsidRPr="00C4089C" w:rsidRDefault="001B3D36">
      <w:pPr>
        <w:rPr>
          <w:rFonts w:ascii="Times New Roman" w:hAnsi="Times New Roman" w:cs="Times New Roman"/>
          <w:b/>
          <w:sz w:val="24"/>
          <w:szCs w:val="24"/>
        </w:rPr>
      </w:pPr>
      <w:r>
        <w:rPr>
          <w:rFonts w:ascii="Times New Roman" w:hAnsi="Times New Roman" w:cs="Times New Roman"/>
          <w:b/>
          <w:sz w:val="24"/>
          <w:szCs w:val="24"/>
        </w:rPr>
        <w:t>2023</w:t>
      </w:r>
      <w:r w:rsidR="00D9732D" w:rsidRPr="00C4089C">
        <w:rPr>
          <w:rFonts w:ascii="Times New Roman" w:hAnsi="Times New Roman" w:cs="Times New Roman"/>
          <w:b/>
          <w:sz w:val="24"/>
          <w:szCs w:val="24"/>
        </w:rPr>
        <w:t xml:space="preserve"> – 202</w:t>
      </w:r>
      <w:r>
        <w:rPr>
          <w:rFonts w:ascii="Times New Roman" w:hAnsi="Times New Roman" w:cs="Times New Roman"/>
          <w:b/>
          <w:sz w:val="24"/>
          <w:szCs w:val="24"/>
        </w:rPr>
        <w:t>4</w:t>
      </w:r>
      <w:bookmarkStart w:id="0" w:name="_GoBack"/>
      <w:bookmarkEnd w:id="0"/>
      <w:r w:rsidR="00D9732D" w:rsidRPr="00C4089C">
        <w:rPr>
          <w:rFonts w:ascii="Times New Roman" w:hAnsi="Times New Roman" w:cs="Times New Roman"/>
          <w:b/>
          <w:sz w:val="24"/>
          <w:szCs w:val="24"/>
        </w:rPr>
        <w:t xml:space="preserve"> </w:t>
      </w:r>
      <w:proofErr w:type="spellStart"/>
      <w:r w:rsidR="00D9732D" w:rsidRPr="00C4089C">
        <w:rPr>
          <w:rFonts w:ascii="Times New Roman" w:hAnsi="Times New Roman" w:cs="Times New Roman"/>
          <w:b/>
          <w:sz w:val="24"/>
          <w:szCs w:val="24"/>
        </w:rPr>
        <w:t>Erasmus</w:t>
      </w:r>
      <w:proofErr w:type="spellEnd"/>
      <w:r w:rsidR="00D9732D" w:rsidRPr="00C4089C">
        <w:rPr>
          <w:rFonts w:ascii="Times New Roman" w:hAnsi="Times New Roman" w:cs="Times New Roman"/>
          <w:b/>
          <w:sz w:val="24"/>
          <w:szCs w:val="24"/>
        </w:rPr>
        <w:t>+ Öğrenci Seçim Kriterleri</w:t>
      </w:r>
    </w:p>
    <w:p w:rsidR="001F14D4" w:rsidRPr="00C4089C" w:rsidRDefault="001F14D4" w:rsidP="001F14D4">
      <w:pPr>
        <w:pStyle w:val="ListeParagraf"/>
        <w:numPr>
          <w:ilvl w:val="0"/>
          <w:numId w:val="2"/>
        </w:numPr>
        <w:rPr>
          <w:rFonts w:ascii="Times New Roman" w:hAnsi="Times New Roman" w:cs="Times New Roman"/>
          <w:sz w:val="24"/>
          <w:szCs w:val="24"/>
        </w:rPr>
      </w:pPr>
      <w:r w:rsidRPr="00C4089C">
        <w:rPr>
          <w:rFonts w:ascii="Times New Roman" w:hAnsi="Times New Roman" w:cs="Times New Roman"/>
          <w:sz w:val="24"/>
          <w:szCs w:val="24"/>
        </w:rPr>
        <w:t>Hareketlilik başvurularını değerlendirmede kullanılacak değerlendirme ölçütleri ve ağırlıklı puanlar şunlardır:</w:t>
      </w:r>
    </w:p>
    <w:tbl>
      <w:tblPr>
        <w:tblW w:w="0" w:type="auto"/>
        <w:tblBorders>
          <w:top w:val="nil"/>
          <w:left w:val="nil"/>
          <w:bottom w:val="nil"/>
          <w:right w:val="nil"/>
        </w:tblBorders>
        <w:tblLayout w:type="fixed"/>
        <w:tblLook w:val="0000" w:firstRow="0" w:lastRow="0" w:firstColumn="0" w:lastColumn="0" w:noHBand="0" w:noVBand="0"/>
      </w:tblPr>
      <w:tblGrid>
        <w:gridCol w:w="4258"/>
        <w:gridCol w:w="4258"/>
      </w:tblGrid>
      <w:tr w:rsidR="00EF795B" w:rsidRPr="00C4089C">
        <w:trPr>
          <w:trHeight w:val="107"/>
        </w:trPr>
        <w:tc>
          <w:tcPr>
            <w:tcW w:w="4258" w:type="dxa"/>
          </w:tcPr>
          <w:p w:rsidR="00EF795B" w:rsidRPr="00C4089C" w:rsidRDefault="00EF795B">
            <w:pPr>
              <w:pStyle w:val="Default"/>
            </w:pPr>
            <w:r w:rsidRPr="00C4089C">
              <w:rPr>
                <w:b/>
                <w:bCs/>
              </w:rPr>
              <w:t xml:space="preserve">Ölçüt </w:t>
            </w:r>
          </w:p>
        </w:tc>
        <w:tc>
          <w:tcPr>
            <w:tcW w:w="4258" w:type="dxa"/>
          </w:tcPr>
          <w:p w:rsidR="00EF795B" w:rsidRPr="00C4089C" w:rsidRDefault="00EF795B">
            <w:pPr>
              <w:pStyle w:val="Default"/>
            </w:pPr>
            <w:r w:rsidRPr="00C4089C">
              <w:rPr>
                <w:b/>
                <w:bCs/>
              </w:rPr>
              <w:t xml:space="preserve">Ağırlıklı Puan </w:t>
            </w:r>
          </w:p>
        </w:tc>
      </w:tr>
      <w:tr w:rsidR="00EF795B" w:rsidRPr="00C4089C">
        <w:trPr>
          <w:trHeight w:val="109"/>
        </w:trPr>
        <w:tc>
          <w:tcPr>
            <w:tcW w:w="4258" w:type="dxa"/>
          </w:tcPr>
          <w:p w:rsidR="00EF795B" w:rsidRPr="00C4089C" w:rsidRDefault="00EF795B">
            <w:pPr>
              <w:pStyle w:val="Default"/>
            </w:pPr>
            <w:r w:rsidRPr="00C4089C">
              <w:rPr>
                <w:i/>
                <w:iCs/>
              </w:rPr>
              <w:t xml:space="preserve">Akademik başarı düzeyi </w:t>
            </w:r>
          </w:p>
        </w:tc>
        <w:tc>
          <w:tcPr>
            <w:tcW w:w="4258" w:type="dxa"/>
          </w:tcPr>
          <w:p w:rsidR="00EF795B" w:rsidRPr="00C4089C" w:rsidRDefault="00EF795B">
            <w:pPr>
              <w:pStyle w:val="Default"/>
            </w:pPr>
            <w:r w:rsidRPr="00C4089C">
              <w:rPr>
                <w:i/>
                <w:iCs/>
              </w:rPr>
              <w:t xml:space="preserve">%50 (toplam 100 puan üzerinden) </w:t>
            </w:r>
          </w:p>
        </w:tc>
      </w:tr>
      <w:tr w:rsidR="00EF795B" w:rsidRPr="00C4089C">
        <w:trPr>
          <w:trHeight w:val="109"/>
        </w:trPr>
        <w:tc>
          <w:tcPr>
            <w:tcW w:w="4258" w:type="dxa"/>
          </w:tcPr>
          <w:p w:rsidR="00EF795B" w:rsidRPr="00C4089C" w:rsidRDefault="00EF795B">
            <w:pPr>
              <w:pStyle w:val="Default"/>
            </w:pPr>
            <w:r w:rsidRPr="00C4089C">
              <w:rPr>
                <w:i/>
                <w:iCs/>
              </w:rPr>
              <w:t xml:space="preserve">Dil seviyesi </w:t>
            </w:r>
          </w:p>
        </w:tc>
        <w:tc>
          <w:tcPr>
            <w:tcW w:w="4258" w:type="dxa"/>
          </w:tcPr>
          <w:p w:rsidR="00EF795B" w:rsidRPr="00C4089C" w:rsidRDefault="00EF795B">
            <w:pPr>
              <w:pStyle w:val="Default"/>
            </w:pPr>
            <w:r w:rsidRPr="00C4089C">
              <w:rPr>
                <w:i/>
                <w:iCs/>
              </w:rPr>
              <w:t xml:space="preserve">%50 (toplam 100 puan üzerinden) </w:t>
            </w:r>
          </w:p>
        </w:tc>
      </w:tr>
      <w:tr w:rsidR="00EF795B" w:rsidRPr="00C4089C">
        <w:trPr>
          <w:trHeight w:val="127"/>
        </w:trPr>
        <w:tc>
          <w:tcPr>
            <w:tcW w:w="4258" w:type="dxa"/>
          </w:tcPr>
          <w:p w:rsidR="00EF795B" w:rsidRPr="00C4089C" w:rsidRDefault="00EF795B">
            <w:pPr>
              <w:pStyle w:val="Default"/>
            </w:pPr>
            <w:r w:rsidRPr="00C4089C">
              <w:rPr>
                <w:i/>
                <w:iCs/>
              </w:rPr>
              <w:t xml:space="preserve">Şehit ve gazi çocuklarına </w:t>
            </w:r>
          </w:p>
        </w:tc>
        <w:tc>
          <w:tcPr>
            <w:tcW w:w="4258" w:type="dxa"/>
          </w:tcPr>
          <w:p w:rsidR="00EF795B" w:rsidRPr="00C4089C" w:rsidRDefault="00EF795B">
            <w:pPr>
              <w:pStyle w:val="Default"/>
            </w:pPr>
            <w:r w:rsidRPr="00C4089C">
              <w:rPr>
                <w:i/>
                <w:iCs/>
              </w:rPr>
              <w:t>+15 puan</w:t>
            </w:r>
          </w:p>
        </w:tc>
      </w:tr>
      <w:tr w:rsidR="00EF795B" w:rsidRPr="00C4089C">
        <w:trPr>
          <w:trHeight w:val="247"/>
        </w:trPr>
        <w:tc>
          <w:tcPr>
            <w:tcW w:w="4258" w:type="dxa"/>
          </w:tcPr>
          <w:p w:rsidR="00EF795B" w:rsidRPr="00C4089C" w:rsidRDefault="00EF795B">
            <w:pPr>
              <w:pStyle w:val="Default"/>
            </w:pPr>
            <w:r w:rsidRPr="00C4089C">
              <w:rPr>
                <w:i/>
                <w:iCs/>
              </w:rPr>
              <w:t xml:space="preserve">Engelli öğrencilere (engelliliğin belgelenmesi kaydıyla) </w:t>
            </w:r>
          </w:p>
        </w:tc>
        <w:tc>
          <w:tcPr>
            <w:tcW w:w="4258" w:type="dxa"/>
          </w:tcPr>
          <w:p w:rsidR="00EF795B" w:rsidRPr="00C4089C" w:rsidRDefault="00EF795B">
            <w:pPr>
              <w:pStyle w:val="Default"/>
            </w:pPr>
            <w:r w:rsidRPr="00C4089C">
              <w:rPr>
                <w:i/>
                <w:iCs/>
              </w:rPr>
              <w:t xml:space="preserve">+10 puan </w:t>
            </w:r>
          </w:p>
        </w:tc>
      </w:tr>
      <w:tr w:rsidR="00EF795B" w:rsidRPr="00C4089C">
        <w:trPr>
          <w:trHeight w:val="523"/>
        </w:trPr>
        <w:tc>
          <w:tcPr>
            <w:tcW w:w="4258" w:type="dxa"/>
          </w:tcPr>
          <w:p w:rsidR="00EF795B" w:rsidRPr="00C4089C" w:rsidRDefault="00EF795B">
            <w:pPr>
              <w:pStyle w:val="Default"/>
            </w:pPr>
            <w:r w:rsidRPr="00C4089C">
              <w:rPr>
                <w:i/>
                <w:iCs/>
              </w:rPr>
              <w:t xml:space="preserve">2828 Sayılı Sosyal Hizmetler Kanunu ile 5395 sayılı Çocuk Koruma Kanunu Kapsamında haklarında korunma, bakım veya barınma kararı alınmış öğrencilere </w:t>
            </w:r>
          </w:p>
        </w:tc>
        <w:tc>
          <w:tcPr>
            <w:tcW w:w="4258" w:type="dxa"/>
          </w:tcPr>
          <w:p w:rsidR="00EF795B" w:rsidRPr="00C4089C" w:rsidRDefault="00EF795B">
            <w:pPr>
              <w:pStyle w:val="Default"/>
            </w:pPr>
            <w:r w:rsidRPr="00C4089C">
              <w:rPr>
                <w:i/>
                <w:iCs/>
              </w:rPr>
              <w:t>+10 puan</w:t>
            </w:r>
          </w:p>
        </w:tc>
      </w:tr>
      <w:tr w:rsidR="00EF795B" w:rsidRPr="00C4089C">
        <w:trPr>
          <w:trHeight w:val="109"/>
        </w:trPr>
        <w:tc>
          <w:tcPr>
            <w:tcW w:w="4258" w:type="dxa"/>
          </w:tcPr>
          <w:p w:rsidR="00EF795B" w:rsidRPr="00C4089C" w:rsidRDefault="00EF795B">
            <w:pPr>
              <w:pStyle w:val="Default"/>
            </w:pPr>
            <w:r w:rsidRPr="00C4089C">
              <w:rPr>
                <w:i/>
                <w:iCs/>
              </w:rPr>
              <w:t xml:space="preserve">Başvuru esnasında staj yeri kabul mektubu sunma </w:t>
            </w:r>
          </w:p>
        </w:tc>
        <w:tc>
          <w:tcPr>
            <w:tcW w:w="4258" w:type="dxa"/>
          </w:tcPr>
          <w:p w:rsidR="00EF795B" w:rsidRPr="00C4089C" w:rsidRDefault="00EF795B">
            <w:pPr>
              <w:pStyle w:val="Default"/>
            </w:pPr>
            <w:r w:rsidRPr="00C4089C">
              <w:rPr>
                <w:i/>
                <w:iCs/>
              </w:rPr>
              <w:t xml:space="preserve">+ 10 puan </w:t>
            </w:r>
          </w:p>
        </w:tc>
      </w:tr>
      <w:tr w:rsidR="00EF795B" w:rsidRPr="00C4089C">
        <w:trPr>
          <w:trHeight w:val="247"/>
        </w:trPr>
        <w:tc>
          <w:tcPr>
            <w:tcW w:w="4258" w:type="dxa"/>
          </w:tcPr>
          <w:p w:rsidR="00EF795B" w:rsidRPr="00C4089C" w:rsidRDefault="00EF795B">
            <w:pPr>
              <w:pStyle w:val="Default"/>
            </w:pPr>
            <w:r w:rsidRPr="00C4089C">
              <w:rPr>
                <w:i/>
                <w:iCs/>
              </w:rPr>
              <w:t>Dijital becerileri geliştirmeye yönelik stajlar (</w:t>
            </w:r>
            <w:proofErr w:type="spellStart"/>
            <w:r w:rsidRPr="00C4089C">
              <w:rPr>
                <w:i/>
                <w:iCs/>
              </w:rPr>
              <w:t>DOTs</w:t>
            </w:r>
            <w:proofErr w:type="spellEnd"/>
            <w:r w:rsidRPr="00C4089C">
              <w:rPr>
                <w:i/>
                <w:iCs/>
              </w:rPr>
              <w:t xml:space="preserve">) </w:t>
            </w:r>
            <w:proofErr w:type="spellStart"/>
            <w:r w:rsidRPr="00C4089C">
              <w:rPr>
                <w:i/>
                <w:iCs/>
              </w:rPr>
              <w:t>önceliklendirilir</w:t>
            </w:r>
            <w:proofErr w:type="spellEnd"/>
            <w:r w:rsidRPr="00C4089C">
              <w:rPr>
                <w:i/>
                <w:iCs/>
              </w:rPr>
              <w:t xml:space="preserve"> </w:t>
            </w:r>
          </w:p>
        </w:tc>
        <w:tc>
          <w:tcPr>
            <w:tcW w:w="4258" w:type="dxa"/>
          </w:tcPr>
          <w:p w:rsidR="00EF795B" w:rsidRPr="00C4089C" w:rsidRDefault="00EF795B">
            <w:pPr>
              <w:pStyle w:val="Default"/>
            </w:pPr>
            <w:r w:rsidRPr="00C4089C">
              <w:rPr>
                <w:i/>
                <w:iCs/>
              </w:rPr>
              <w:t>+5 puan</w:t>
            </w:r>
          </w:p>
        </w:tc>
      </w:tr>
      <w:tr w:rsidR="00EF795B" w:rsidRPr="00C4089C">
        <w:trPr>
          <w:trHeight w:val="109"/>
        </w:trPr>
        <w:tc>
          <w:tcPr>
            <w:tcW w:w="4258" w:type="dxa"/>
          </w:tcPr>
          <w:p w:rsidR="00EF795B" w:rsidRPr="00C4089C" w:rsidRDefault="00EF795B">
            <w:pPr>
              <w:pStyle w:val="Default"/>
            </w:pPr>
            <w:r w:rsidRPr="00C4089C">
              <w:rPr>
                <w:i/>
                <w:iCs/>
              </w:rPr>
              <w:t xml:space="preserve">Daha önce yararlanma (hibeli veya hibesiz) </w:t>
            </w:r>
          </w:p>
        </w:tc>
        <w:tc>
          <w:tcPr>
            <w:tcW w:w="4258" w:type="dxa"/>
          </w:tcPr>
          <w:p w:rsidR="00EF795B" w:rsidRPr="00C4089C" w:rsidRDefault="00EF795B">
            <w:pPr>
              <w:pStyle w:val="Default"/>
            </w:pPr>
            <w:r w:rsidRPr="00C4089C">
              <w:rPr>
                <w:i/>
                <w:iCs/>
              </w:rPr>
              <w:t xml:space="preserve">-10 puan </w:t>
            </w:r>
          </w:p>
        </w:tc>
      </w:tr>
      <w:tr w:rsidR="00EF795B" w:rsidRPr="00C4089C">
        <w:trPr>
          <w:trHeight w:val="109"/>
        </w:trPr>
        <w:tc>
          <w:tcPr>
            <w:tcW w:w="4258" w:type="dxa"/>
          </w:tcPr>
          <w:p w:rsidR="00EF795B" w:rsidRPr="00C4089C" w:rsidRDefault="00EF795B">
            <w:pPr>
              <w:pStyle w:val="Default"/>
            </w:pPr>
            <w:r w:rsidRPr="00C4089C">
              <w:rPr>
                <w:i/>
                <w:iCs/>
              </w:rPr>
              <w:t xml:space="preserve">Vatandaşı olunan ülkede hareketliliğe katılma </w:t>
            </w:r>
          </w:p>
        </w:tc>
        <w:tc>
          <w:tcPr>
            <w:tcW w:w="4258" w:type="dxa"/>
          </w:tcPr>
          <w:p w:rsidR="00EF795B" w:rsidRPr="00C4089C" w:rsidRDefault="00EF795B">
            <w:pPr>
              <w:pStyle w:val="Default"/>
            </w:pPr>
            <w:r w:rsidRPr="00C4089C">
              <w:rPr>
                <w:i/>
                <w:iCs/>
              </w:rPr>
              <w:t xml:space="preserve">-10 puan </w:t>
            </w:r>
          </w:p>
        </w:tc>
      </w:tr>
      <w:tr w:rsidR="00EF795B" w:rsidRPr="00C4089C">
        <w:trPr>
          <w:trHeight w:val="385"/>
        </w:trPr>
        <w:tc>
          <w:tcPr>
            <w:tcW w:w="4258" w:type="dxa"/>
          </w:tcPr>
          <w:p w:rsidR="00EF795B" w:rsidRPr="00C4089C" w:rsidRDefault="00EF795B">
            <w:pPr>
              <w:pStyle w:val="Default"/>
            </w:pPr>
            <w:r w:rsidRPr="00C4089C">
              <w:rPr>
                <w:i/>
                <w:iCs/>
              </w:rPr>
              <w:t xml:space="preserve">Hareketliliğe seçildiği halde süresinde feragat bildiriminde bulunmaksızın hareketliliğe katılmama </w:t>
            </w:r>
          </w:p>
        </w:tc>
        <w:tc>
          <w:tcPr>
            <w:tcW w:w="4258" w:type="dxa"/>
          </w:tcPr>
          <w:p w:rsidR="00EF795B" w:rsidRPr="00C4089C" w:rsidRDefault="00EF795B">
            <w:pPr>
              <w:pStyle w:val="Default"/>
            </w:pPr>
            <w:r w:rsidRPr="00C4089C">
              <w:rPr>
                <w:i/>
                <w:iCs/>
              </w:rPr>
              <w:t xml:space="preserve">-10 puan </w:t>
            </w:r>
          </w:p>
        </w:tc>
      </w:tr>
      <w:tr w:rsidR="00EF795B" w:rsidRPr="00C4089C" w:rsidTr="00EF795B">
        <w:trPr>
          <w:trHeight w:val="385"/>
        </w:trPr>
        <w:tc>
          <w:tcPr>
            <w:tcW w:w="4258" w:type="dxa"/>
            <w:tcBorders>
              <w:left w:val="nil"/>
            </w:tcBorders>
          </w:tcPr>
          <w:p w:rsidR="00EF795B" w:rsidRPr="00C4089C" w:rsidRDefault="00EF795B">
            <w:pPr>
              <w:pStyle w:val="Default"/>
              <w:rPr>
                <w:i/>
                <w:iCs/>
              </w:rPr>
            </w:pPr>
            <w:r w:rsidRPr="00C4089C">
              <w:rPr>
                <w:i/>
                <w:iCs/>
              </w:rPr>
              <w:t xml:space="preserve">İki hareketlilik türüne birden aynı anda başvurma (öğrencinin tercih ettiği hareketlilik türüne azaltma uygulanır) </w:t>
            </w:r>
          </w:p>
        </w:tc>
        <w:tc>
          <w:tcPr>
            <w:tcW w:w="4258" w:type="dxa"/>
            <w:tcBorders>
              <w:right w:val="nil"/>
            </w:tcBorders>
          </w:tcPr>
          <w:p w:rsidR="00EF795B" w:rsidRPr="00C4089C" w:rsidRDefault="00EF795B">
            <w:pPr>
              <w:pStyle w:val="Default"/>
              <w:rPr>
                <w:i/>
                <w:iCs/>
              </w:rPr>
            </w:pPr>
            <w:r w:rsidRPr="00C4089C">
              <w:rPr>
                <w:i/>
                <w:iCs/>
              </w:rPr>
              <w:t xml:space="preserve">-10 puan </w:t>
            </w:r>
          </w:p>
        </w:tc>
      </w:tr>
      <w:tr w:rsidR="00EF795B" w:rsidRPr="00C4089C" w:rsidTr="00EF795B">
        <w:trPr>
          <w:trHeight w:val="385"/>
        </w:trPr>
        <w:tc>
          <w:tcPr>
            <w:tcW w:w="4258" w:type="dxa"/>
            <w:tcBorders>
              <w:left w:val="nil"/>
            </w:tcBorders>
          </w:tcPr>
          <w:p w:rsidR="00EF795B" w:rsidRPr="00C4089C" w:rsidRDefault="00EF795B">
            <w:pPr>
              <w:pStyle w:val="Default"/>
              <w:rPr>
                <w:i/>
                <w:iCs/>
              </w:rPr>
            </w:pPr>
            <w:r w:rsidRPr="00C4089C">
              <w:rPr>
                <w:i/>
                <w:iCs/>
              </w:rPr>
              <w:t xml:space="preserve">Hareketliliğe seçilen öğrenciler için: Yükseköğretim kurumu tarafından hareketlilikle ilgili olarak düzenlenen toplantılara/eğitimlere mazeretsiz katılmama (öğrencinin </w:t>
            </w:r>
            <w:proofErr w:type="spellStart"/>
            <w:r w:rsidRPr="00C4089C">
              <w:rPr>
                <w:i/>
                <w:iCs/>
              </w:rPr>
              <w:t>Erasmus’a</w:t>
            </w:r>
            <w:proofErr w:type="spellEnd"/>
            <w:r w:rsidRPr="00C4089C">
              <w:rPr>
                <w:i/>
                <w:iCs/>
              </w:rPr>
              <w:t xml:space="preserve"> tekrar başvurması halinde uygulanır) </w:t>
            </w:r>
          </w:p>
        </w:tc>
        <w:tc>
          <w:tcPr>
            <w:tcW w:w="4258" w:type="dxa"/>
            <w:tcBorders>
              <w:right w:val="nil"/>
            </w:tcBorders>
          </w:tcPr>
          <w:p w:rsidR="00EF795B" w:rsidRPr="00C4089C" w:rsidRDefault="00EF795B">
            <w:pPr>
              <w:pStyle w:val="Default"/>
              <w:rPr>
                <w:i/>
                <w:iCs/>
              </w:rPr>
            </w:pPr>
            <w:r w:rsidRPr="00C4089C">
              <w:rPr>
                <w:i/>
                <w:iCs/>
              </w:rPr>
              <w:t xml:space="preserve">-5 puan </w:t>
            </w:r>
          </w:p>
        </w:tc>
      </w:tr>
      <w:tr w:rsidR="00EF795B" w:rsidRPr="00C4089C" w:rsidTr="00EF795B">
        <w:trPr>
          <w:trHeight w:val="385"/>
        </w:trPr>
        <w:tc>
          <w:tcPr>
            <w:tcW w:w="4258" w:type="dxa"/>
            <w:tcBorders>
              <w:left w:val="nil"/>
              <w:bottom w:val="nil"/>
            </w:tcBorders>
          </w:tcPr>
          <w:p w:rsidR="00EF795B" w:rsidRPr="00C4089C" w:rsidRDefault="00EF795B">
            <w:pPr>
              <w:pStyle w:val="Default"/>
              <w:rPr>
                <w:i/>
                <w:iCs/>
              </w:rPr>
            </w:pPr>
            <w:r w:rsidRPr="00C4089C">
              <w:rPr>
                <w:i/>
                <w:iCs/>
              </w:rPr>
              <w:t xml:space="preserve">Dil sınavına gireceğini beyan edip mazeretsiz girmeme ( öğrencinin </w:t>
            </w:r>
            <w:proofErr w:type="spellStart"/>
            <w:r w:rsidRPr="00C4089C">
              <w:rPr>
                <w:i/>
                <w:iCs/>
              </w:rPr>
              <w:t>Erasmus’a</w:t>
            </w:r>
            <w:proofErr w:type="spellEnd"/>
            <w:r w:rsidRPr="00C4089C">
              <w:rPr>
                <w:i/>
                <w:iCs/>
              </w:rPr>
              <w:t xml:space="preserve"> tekrar başvurması halinde uygulanır) </w:t>
            </w:r>
          </w:p>
        </w:tc>
        <w:tc>
          <w:tcPr>
            <w:tcW w:w="4258" w:type="dxa"/>
            <w:tcBorders>
              <w:bottom w:val="nil"/>
              <w:right w:val="nil"/>
            </w:tcBorders>
          </w:tcPr>
          <w:p w:rsidR="00EF795B" w:rsidRPr="00C4089C" w:rsidRDefault="00EF795B">
            <w:pPr>
              <w:pStyle w:val="Default"/>
              <w:rPr>
                <w:i/>
                <w:iCs/>
              </w:rPr>
            </w:pPr>
            <w:r w:rsidRPr="00C4089C">
              <w:rPr>
                <w:i/>
                <w:iCs/>
              </w:rPr>
              <w:t xml:space="preserve">-5 puan </w:t>
            </w:r>
          </w:p>
        </w:tc>
      </w:tr>
    </w:tbl>
    <w:p w:rsidR="00EF795B" w:rsidRPr="00C4089C" w:rsidRDefault="00EF795B" w:rsidP="00EF795B">
      <w:pPr>
        <w:rPr>
          <w:rFonts w:ascii="Times New Roman" w:hAnsi="Times New Roman" w:cs="Times New Roman"/>
          <w:sz w:val="24"/>
          <w:szCs w:val="24"/>
        </w:rPr>
      </w:pPr>
    </w:p>
    <w:p w:rsidR="00B6144F" w:rsidRPr="00C4089C" w:rsidRDefault="00B6144F">
      <w:pPr>
        <w:rPr>
          <w:rFonts w:ascii="Times New Roman" w:hAnsi="Times New Roman" w:cs="Times New Roman"/>
          <w:b/>
          <w:sz w:val="24"/>
          <w:szCs w:val="24"/>
        </w:rPr>
      </w:pPr>
    </w:p>
    <w:p w:rsidR="00EE13A9" w:rsidRPr="00C4089C" w:rsidRDefault="00623D3C" w:rsidP="00EE13A9">
      <w:pPr>
        <w:rPr>
          <w:rFonts w:ascii="Times New Roman" w:hAnsi="Times New Roman" w:cs="Times New Roman"/>
          <w:color w:val="FFFFFF" w:themeColor="background1"/>
          <w:sz w:val="24"/>
          <w:szCs w:val="24"/>
        </w:rPr>
      </w:pPr>
      <w:r w:rsidRPr="00C4089C">
        <w:rPr>
          <w:rFonts w:ascii="Times New Roman" w:hAnsi="Times New Roman" w:cs="Times New Roman"/>
          <w:color w:val="FFFFFF" w:themeColor="background1"/>
          <w:sz w:val="24"/>
          <w:szCs w:val="24"/>
        </w:rPr>
        <w:t>.</w:t>
      </w:r>
    </w:p>
    <w:p w:rsidR="00EE13A9" w:rsidRPr="00C4089C" w:rsidRDefault="00EE13A9" w:rsidP="00EE13A9">
      <w:pPr>
        <w:rPr>
          <w:rFonts w:ascii="Times New Roman" w:hAnsi="Times New Roman" w:cs="Times New Roman"/>
          <w:color w:val="FFFFFF" w:themeColor="background1"/>
          <w:sz w:val="24"/>
          <w:szCs w:val="24"/>
        </w:rPr>
      </w:pPr>
    </w:p>
    <w:p w:rsidR="00EE13A9" w:rsidRPr="00C4089C" w:rsidRDefault="00EE13A9" w:rsidP="00EE13A9">
      <w:pPr>
        <w:rPr>
          <w:rFonts w:ascii="Times New Roman" w:hAnsi="Times New Roman" w:cs="Times New Roman"/>
          <w:color w:val="FFFFFF" w:themeColor="background1"/>
          <w:sz w:val="24"/>
          <w:szCs w:val="24"/>
        </w:rPr>
      </w:pPr>
    </w:p>
    <w:p w:rsidR="00EE13A9" w:rsidRPr="00C4089C" w:rsidRDefault="00EE13A9" w:rsidP="00EE13A9">
      <w:pPr>
        <w:rPr>
          <w:rFonts w:ascii="Times New Roman" w:hAnsi="Times New Roman" w:cs="Times New Roman"/>
          <w:color w:val="FFFFFF" w:themeColor="background1"/>
          <w:sz w:val="24"/>
          <w:szCs w:val="24"/>
        </w:rPr>
      </w:pPr>
    </w:p>
    <w:p w:rsidR="00623D3C" w:rsidRPr="00C4089C" w:rsidRDefault="00623D3C" w:rsidP="001F14D4">
      <w:pPr>
        <w:pStyle w:val="ListeParagraf"/>
        <w:numPr>
          <w:ilvl w:val="0"/>
          <w:numId w:val="2"/>
        </w:numPr>
        <w:rPr>
          <w:rFonts w:ascii="Times New Roman" w:hAnsi="Times New Roman" w:cs="Times New Roman"/>
          <w:sz w:val="24"/>
          <w:szCs w:val="24"/>
        </w:rPr>
      </w:pPr>
      <w:r w:rsidRPr="00C4089C">
        <w:rPr>
          <w:rFonts w:ascii="Times New Roman" w:hAnsi="Times New Roman" w:cs="Times New Roman"/>
          <w:sz w:val="24"/>
          <w:szCs w:val="24"/>
        </w:rPr>
        <w:lastRenderedPageBreak/>
        <w:t>Ülke grupları ve bu ülkelere gidecek öğrencilere verilecek aylık hibe miktarları aşağıdaki tabloda yer almaktadır.</w:t>
      </w:r>
    </w:p>
    <w:p w:rsidR="00B3656B" w:rsidRPr="00C4089C" w:rsidRDefault="00B3656B" w:rsidP="003B3774">
      <w:pPr>
        <w:ind w:left="360"/>
        <w:rPr>
          <w:rFonts w:ascii="Times New Roman" w:hAnsi="Times New Roman" w:cs="Times New Roman"/>
          <w:color w:val="FF0000"/>
          <w:sz w:val="24"/>
          <w:szCs w:val="24"/>
        </w:rPr>
      </w:pPr>
    </w:p>
    <w:tbl>
      <w:tblPr>
        <w:tblW w:w="87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4140"/>
        <w:gridCol w:w="1417"/>
        <w:gridCol w:w="1531"/>
      </w:tblGrid>
      <w:tr w:rsidR="00841797" w:rsidRPr="00C4089C" w:rsidTr="00841797">
        <w:trPr>
          <w:trHeight w:val="900"/>
        </w:trPr>
        <w:tc>
          <w:tcPr>
            <w:tcW w:w="1706" w:type="dxa"/>
            <w:tcMar>
              <w:top w:w="0" w:type="dxa"/>
              <w:left w:w="108" w:type="dxa"/>
              <w:bottom w:w="0" w:type="dxa"/>
              <w:right w:w="108" w:type="dxa"/>
            </w:tcMar>
            <w:vAlign w:val="center"/>
            <w:hideMark/>
          </w:tcPr>
          <w:p w:rsidR="00841797" w:rsidRPr="00C4089C" w:rsidRDefault="00841797" w:rsidP="009A4BD9">
            <w:pPr>
              <w:jc w:val="center"/>
              <w:rPr>
                <w:rFonts w:ascii="Times New Roman" w:hAnsi="Times New Roman" w:cs="Times New Roman"/>
                <w:b/>
                <w:bCs/>
                <w:color w:val="000000"/>
                <w:sz w:val="24"/>
                <w:szCs w:val="24"/>
              </w:rPr>
            </w:pPr>
            <w:r w:rsidRPr="00C4089C">
              <w:rPr>
                <w:rFonts w:ascii="Times New Roman" w:hAnsi="Times New Roman" w:cs="Times New Roman"/>
                <w:b/>
                <w:bCs/>
                <w:color w:val="000000"/>
                <w:sz w:val="24"/>
                <w:szCs w:val="24"/>
              </w:rPr>
              <w:t>Ülke Grupları</w:t>
            </w:r>
          </w:p>
        </w:tc>
        <w:tc>
          <w:tcPr>
            <w:tcW w:w="4140" w:type="dxa"/>
            <w:tcMar>
              <w:top w:w="0" w:type="dxa"/>
              <w:left w:w="108" w:type="dxa"/>
              <w:bottom w:w="0" w:type="dxa"/>
              <w:right w:w="108" w:type="dxa"/>
            </w:tcMar>
            <w:vAlign w:val="center"/>
            <w:hideMark/>
          </w:tcPr>
          <w:p w:rsidR="00841797" w:rsidRPr="00C4089C" w:rsidRDefault="00841797" w:rsidP="009A4BD9">
            <w:pPr>
              <w:jc w:val="center"/>
              <w:rPr>
                <w:rFonts w:ascii="Times New Roman" w:hAnsi="Times New Roman" w:cs="Times New Roman"/>
                <w:b/>
                <w:bCs/>
                <w:color w:val="000000"/>
                <w:sz w:val="24"/>
                <w:szCs w:val="24"/>
              </w:rPr>
            </w:pPr>
            <w:r w:rsidRPr="00C4089C">
              <w:rPr>
                <w:rFonts w:ascii="Times New Roman" w:hAnsi="Times New Roman" w:cs="Times New Roman"/>
                <w:b/>
                <w:bCs/>
                <w:color w:val="000000"/>
                <w:sz w:val="24"/>
                <w:szCs w:val="24"/>
              </w:rPr>
              <w:t>Hareketlilikte Misafir Olunan Ülkeler</w:t>
            </w:r>
          </w:p>
        </w:tc>
        <w:tc>
          <w:tcPr>
            <w:tcW w:w="1417" w:type="dxa"/>
            <w:tcMar>
              <w:top w:w="0" w:type="dxa"/>
              <w:left w:w="108" w:type="dxa"/>
              <w:bottom w:w="0" w:type="dxa"/>
              <w:right w:w="108" w:type="dxa"/>
            </w:tcMar>
            <w:vAlign w:val="center"/>
            <w:hideMark/>
          </w:tcPr>
          <w:p w:rsidR="00841797" w:rsidRPr="00C4089C" w:rsidRDefault="00841797" w:rsidP="009A4BD9">
            <w:pPr>
              <w:jc w:val="center"/>
              <w:rPr>
                <w:rFonts w:ascii="Times New Roman" w:hAnsi="Times New Roman" w:cs="Times New Roman"/>
                <w:b/>
                <w:bCs/>
                <w:color w:val="000000"/>
                <w:sz w:val="24"/>
                <w:szCs w:val="24"/>
              </w:rPr>
            </w:pPr>
            <w:r w:rsidRPr="00C4089C">
              <w:rPr>
                <w:rFonts w:ascii="Times New Roman" w:hAnsi="Times New Roman" w:cs="Times New Roman"/>
                <w:b/>
                <w:bCs/>
                <w:color w:val="000000"/>
                <w:sz w:val="24"/>
                <w:szCs w:val="24"/>
              </w:rPr>
              <w:t>Aylık Hibe Öğrenim (Avro)</w:t>
            </w:r>
          </w:p>
        </w:tc>
        <w:tc>
          <w:tcPr>
            <w:tcW w:w="1531" w:type="dxa"/>
            <w:tcMar>
              <w:top w:w="0" w:type="dxa"/>
              <w:left w:w="108" w:type="dxa"/>
              <w:bottom w:w="0" w:type="dxa"/>
              <w:right w:w="108" w:type="dxa"/>
            </w:tcMar>
            <w:vAlign w:val="center"/>
            <w:hideMark/>
          </w:tcPr>
          <w:p w:rsidR="00841797" w:rsidRPr="00C4089C" w:rsidRDefault="00841797" w:rsidP="009A4BD9">
            <w:pPr>
              <w:jc w:val="center"/>
              <w:rPr>
                <w:rFonts w:ascii="Times New Roman" w:hAnsi="Times New Roman" w:cs="Times New Roman"/>
                <w:b/>
                <w:bCs/>
                <w:color w:val="000000"/>
                <w:sz w:val="24"/>
                <w:szCs w:val="24"/>
              </w:rPr>
            </w:pPr>
            <w:r w:rsidRPr="00C4089C">
              <w:rPr>
                <w:rFonts w:ascii="Times New Roman" w:hAnsi="Times New Roman" w:cs="Times New Roman"/>
                <w:b/>
                <w:bCs/>
                <w:color w:val="000000"/>
                <w:sz w:val="24"/>
                <w:szCs w:val="24"/>
              </w:rPr>
              <w:t>Aylık Hibe</w:t>
            </w:r>
          </w:p>
          <w:p w:rsidR="00841797" w:rsidRPr="00C4089C" w:rsidRDefault="00841797" w:rsidP="009A4BD9">
            <w:pPr>
              <w:jc w:val="center"/>
              <w:rPr>
                <w:rFonts w:ascii="Times New Roman" w:hAnsi="Times New Roman" w:cs="Times New Roman"/>
                <w:b/>
                <w:bCs/>
                <w:color w:val="000000"/>
                <w:sz w:val="24"/>
                <w:szCs w:val="24"/>
              </w:rPr>
            </w:pPr>
            <w:r w:rsidRPr="00C4089C">
              <w:rPr>
                <w:rFonts w:ascii="Times New Roman" w:hAnsi="Times New Roman" w:cs="Times New Roman"/>
                <w:b/>
                <w:bCs/>
                <w:color w:val="000000"/>
                <w:sz w:val="24"/>
                <w:szCs w:val="24"/>
              </w:rPr>
              <w:t xml:space="preserve">Staj </w:t>
            </w:r>
          </w:p>
          <w:p w:rsidR="00841797" w:rsidRPr="00C4089C" w:rsidRDefault="00841797" w:rsidP="009A4BD9">
            <w:pPr>
              <w:jc w:val="center"/>
              <w:rPr>
                <w:rFonts w:ascii="Times New Roman" w:hAnsi="Times New Roman" w:cs="Times New Roman"/>
                <w:b/>
                <w:bCs/>
                <w:color w:val="000000"/>
                <w:sz w:val="24"/>
                <w:szCs w:val="24"/>
              </w:rPr>
            </w:pPr>
            <w:r w:rsidRPr="00C4089C">
              <w:rPr>
                <w:rFonts w:ascii="Times New Roman" w:hAnsi="Times New Roman" w:cs="Times New Roman"/>
                <w:b/>
                <w:bCs/>
                <w:color w:val="000000"/>
                <w:sz w:val="24"/>
                <w:szCs w:val="24"/>
              </w:rPr>
              <w:t>(Avro)</w:t>
            </w:r>
          </w:p>
        </w:tc>
      </w:tr>
      <w:tr w:rsidR="00841797" w:rsidRPr="00C4089C" w:rsidTr="00841797">
        <w:trPr>
          <w:trHeight w:val="1335"/>
        </w:trPr>
        <w:tc>
          <w:tcPr>
            <w:tcW w:w="1706" w:type="dxa"/>
            <w:tcMar>
              <w:top w:w="0" w:type="dxa"/>
              <w:left w:w="108" w:type="dxa"/>
              <w:bottom w:w="0" w:type="dxa"/>
              <w:right w:w="108" w:type="dxa"/>
            </w:tcMar>
            <w:vAlign w:val="center"/>
            <w:hideMark/>
          </w:tcPr>
          <w:p w:rsidR="00841797" w:rsidRPr="00C4089C" w:rsidRDefault="00841797" w:rsidP="009A4BD9">
            <w:pPr>
              <w:rPr>
                <w:rFonts w:ascii="Times New Roman" w:hAnsi="Times New Roman" w:cs="Times New Roman"/>
                <w:color w:val="000000"/>
                <w:sz w:val="24"/>
                <w:szCs w:val="24"/>
              </w:rPr>
            </w:pPr>
            <w:r w:rsidRPr="00C4089C">
              <w:rPr>
                <w:rFonts w:ascii="Times New Roman" w:hAnsi="Times New Roman" w:cs="Times New Roman"/>
                <w:color w:val="000000"/>
                <w:sz w:val="24"/>
                <w:szCs w:val="24"/>
              </w:rPr>
              <w:t>1. ve 2. Grup Program Ülkeleri</w:t>
            </w:r>
          </w:p>
        </w:tc>
        <w:tc>
          <w:tcPr>
            <w:tcW w:w="4140" w:type="dxa"/>
            <w:tcMar>
              <w:top w:w="0" w:type="dxa"/>
              <w:left w:w="108" w:type="dxa"/>
              <w:bottom w:w="0" w:type="dxa"/>
              <w:right w:w="108" w:type="dxa"/>
            </w:tcMar>
            <w:vAlign w:val="center"/>
            <w:hideMark/>
          </w:tcPr>
          <w:p w:rsidR="00841797" w:rsidRPr="00C4089C" w:rsidRDefault="00B3656B" w:rsidP="00607303">
            <w:pPr>
              <w:rPr>
                <w:rFonts w:ascii="Times New Roman" w:hAnsi="Times New Roman" w:cs="Times New Roman"/>
                <w:color w:val="000000"/>
                <w:sz w:val="24"/>
                <w:szCs w:val="24"/>
              </w:rPr>
            </w:pPr>
            <w:r w:rsidRPr="00C4089C">
              <w:rPr>
                <w:rFonts w:ascii="Times New Roman" w:hAnsi="Times New Roman" w:cs="Times New Roman"/>
                <w:color w:val="000000"/>
                <w:sz w:val="24"/>
                <w:szCs w:val="24"/>
              </w:rPr>
              <w:t xml:space="preserve">Almanya, Avusturya, Belçika, </w:t>
            </w:r>
            <w:r w:rsidR="00841797" w:rsidRPr="00C4089C">
              <w:rPr>
                <w:rFonts w:ascii="Times New Roman" w:hAnsi="Times New Roman" w:cs="Times New Roman"/>
                <w:color w:val="000000"/>
                <w:sz w:val="24"/>
                <w:szCs w:val="24"/>
              </w:rPr>
              <w:t xml:space="preserve">Danimarka, Finlandiya, </w:t>
            </w:r>
            <w:r w:rsidRPr="00C4089C">
              <w:rPr>
                <w:rFonts w:ascii="Times New Roman" w:hAnsi="Times New Roman" w:cs="Times New Roman"/>
                <w:color w:val="000000"/>
                <w:sz w:val="24"/>
                <w:szCs w:val="24"/>
              </w:rPr>
              <w:t xml:space="preserve">Fransa, Güney Kıbrıs, Hollanda, İrlanda, İspanya, </w:t>
            </w:r>
            <w:r w:rsidR="00385A92" w:rsidRPr="00C4089C">
              <w:rPr>
                <w:rFonts w:ascii="Times New Roman" w:hAnsi="Times New Roman" w:cs="Times New Roman"/>
                <w:color w:val="000000"/>
                <w:sz w:val="24"/>
                <w:szCs w:val="24"/>
              </w:rPr>
              <w:t xml:space="preserve">İsveç, </w:t>
            </w:r>
            <w:r w:rsidRPr="00C4089C">
              <w:rPr>
                <w:rFonts w:ascii="Times New Roman" w:hAnsi="Times New Roman" w:cs="Times New Roman"/>
                <w:color w:val="000000"/>
                <w:sz w:val="24"/>
                <w:szCs w:val="24"/>
              </w:rPr>
              <w:t xml:space="preserve">İtalya, İzlanda, </w:t>
            </w:r>
            <w:r w:rsidRPr="00C4089C">
              <w:rPr>
                <w:rFonts w:ascii="Times New Roman" w:hAnsi="Times New Roman" w:cs="Times New Roman"/>
                <w:sz w:val="24"/>
                <w:szCs w:val="24"/>
              </w:rPr>
              <w:t>Lihtenştayn</w:t>
            </w:r>
            <w:r w:rsidRPr="00C4089C">
              <w:rPr>
                <w:rFonts w:ascii="Times New Roman" w:hAnsi="Times New Roman" w:cs="Times New Roman"/>
                <w:color w:val="000000"/>
                <w:sz w:val="24"/>
                <w:szCs w:val="24"/>
              </w:rPr>
              <w:t>, Lüksemburg, Malta, Norveç, Portekiz, Yunanistan</w:t>
            </w:r>
          </w:p>
        </w:tc>
        <w:tc>
          <w:tcPr>
            <w:tcW w:w="1417" w:type="dxa"/>
            <w:tcMar>
              <w:top w:w="0" w:type="dxa"/>
              <w:left w:w="108" w:type="dxa"/>
              <w:bottom w:w="0" w:type="dxa"/>
              <w:right w:w="108" w:type="dxa"/>
            </w:tcMar>
            <w:vAlign w:val="center"/>
            <w:hideMark/>
          </w:tcPr>
          <w:p w:rsidR="00841797" w:rsidRPr="00C4089C" w:rsidRDefault="00385A92" w:rsidP="009A4BD9">
            <w:pPr>
              <w:jc w:val="center"/>
              <w:rPr>
                <w:rFonts w:ascii="Times New Roman" w:hAnsi="Times New Roman" w:cs="Times New Roman"/>
                <w:color w:val="000000"/>
                <w:sz w:val="24"/>
                <w:szCs w:val="24"/>
              </w:rPr>
            </w:pPr>
            <w:r w:rsidRPr="00C4089C">
              <w:rPr>
                <w:rFonts w:ascii="Times New Roman" w:hAnsi="Times New Roman" w:cs="Times New Roman"/>
                <w:color w:val="000000"/>
                <w:sz w:val="24"/>
                <w:szCs w:val="24"/>
              </w:rPr>
              <w:t>600</w:t>
            </w:r>
          </w:p>
        </w:tc>
        <w:tc>
          <w:tcPr>
            <w:tcW w:w="1531" w:type="dxa"/>
            <w:tcMar>
              <w:top w:w="0" w:type="dxa"/>
              <w:left w:w="108" w:type="dxa"/>
              <w:bottom w:w="0" w:type="dxa"/>
              <w:right w:w="108" w:type="dxa"/>
            </w:tcMar>
            <w:vAlign w:val="center"/>
            <w:hideMark/>
          </w:tcPr>
          <w:p w:rsidR="00841797" w:rsidRPr="00C4089C" w:rsidRDefault="00385A92" w:rsidP="009A4BD9">
            <w:pPr>
              <w:jc w:val="center"/>
              <w:rPr>
                <w:rFonts w:ascii="Times New Roman" w:hAnsi="Times New Roman" w:cs="Times New Roman"/>
                <w:color w:val="000000"/>
                <w:sz w:val="24"/>
                <w:szCs w:val="24"/>
              </w:rPr>
            </w:pPr>
            <w:r w:rsidRPr="00C4089C">
              <w:rPr>
                <w:rFonts w:ascii="Times New Roman" w:hAnsi="Times New Roman" w:cs="Times New Roman"/>
                <w:color w:val="000000"/>
                <w:sz w:val="24"/>
                <w:szCs w:val="24"/>
              </w:rPr>
              <w:t>750</w:t>
            </w:r>
          </w:p>
        </w:tc>
      </w:tr>
      <w:tr w:rsidR="00841797" w:rsidRPr="00C4089C" w:rsidTr="00841797">
        <w:trPr>
          <w:trHeight w:val="1335"/>
        </w:trPr>
        <w:tc>
          <w:tcPr>
            <w:tcW w:w="1706" w:type="dxa"/>
            <w:tcMar>
              <w:top w:w="0" w:type="dxa"/>
              <w:left w:w="108" w:type="dxa"/>
              <w:bottom w:w="0" w:type="dxa"/>
              <w:right w:w="108" w:type="dxa"/>
            </w:tcMar>
            <w:vAlign w:val="center"/>
            <w:hideMark/>
          </w:tcPr>
          <w:p w:rsidR="00841797" w:rsidRPr="00C4089C" w:rsidRDefault="00841797" w:rsidP="009A4BD9">
            <w:pPr>
              <w:rPr>
                <w:rFonts w:ascii="Times New Roman" w:hAnsi="Times New Roman" w:cs="Times New Roman"/>
                <w:color w:val="000000"/>
                <w:sz w:val="24"/>
                <w:szCs w:val="24"/>
              </w:rPr>
            </w:pPr>
            <w:r w:rsidRPr="00C4089C">
              <w:rPr>
                <w:rFonts w:ascii="Times New Roman" w:hAnsi="Times New Roman" w:cs="Times New Roman"/>
                <w:color w:val="000000"/>
                <w:sz w:val="24"/>
                <w:szCs w:val="24"/>
              </w:rPr>
              <w:t>3. Grup Program Ülkeleri</w:t>
            </w:r>
          </w:p>
        </w:tc>
        <w:tc>
          <w:tcPr>
            <w:tcW w:w="4140" w:type="dxa"/>
            <w:tcMar>
              <w:top w:w="0" w:type="dxa"/>
              <w:left w:w="108" w:type="dxa"/>
              <w:bottom w:w="0" w:type="dxa"/>
              <w:right w:w="108" w:type="dxa"/>
            </w:tcMar>
            <w:vAlign w:val="center"/>
            <w:hideMark/>
          </w:tcPr>
          <w:p w:rsidR="00841797" w:rsidRPr="00C4089C" w:rsidRDefault="00841797" w:rsidP="00DE7C30">
            <w:pPr>
              <w:rPr>
                <w:rFonts w:ascii="Times New Roman" w:hAnsi="Times New Roman" w:cs="Times New Roman"/>
                <w:color w:val="000000"/>
                <w:sz w:val="24"/>
                <w:szCs w:val="24"/>
              </w:rPr>
            </w:pPr>
            <w:r w:rsidRPr="00C4089C">
              <w:rPr>
                <w:rFonts w:ascii="Times New Roman" w:hAnsi="Times New Roman" w:cs="Times New Roman"/>
                <w:color w:val="000000"/>
                <w:sz w:val="24"/>
                <w:szCs w:val="24"/>
              </w:rPr>
              <w:t>Bulgaristan, Çek Cumhuriyeti, Estonya, Hırvatistan,</w:t>
            </w:r>
            <w:r w:rsidR="00DE7C30" w:rsidRPr="00C4089C">
              <w:rPr>
                <w:rFonts w:ascii="Times New Roman" w:hAnsi="Times New Roman" w:cs="Times New Roman"/>
                <w:color w:val="000000"/>
                <w:sz w:val="24"/>
                <w:szCs w:val="24"/>
              </w:rPr>
              <w:t xml:space="preserve"> Kuzey Makedonya, Letonya, Litvanya, Macaristan,</w:t>
            </w:r>
            <w:r w:rsidRPr="00C4089C">
              <w:rPr>
                <w:rFonts w:ascii="Times New Roman" w:hAnsi="Times New Roman" w:cs="Times New Roman"/>
                <w:color w:val="000000"/>
                <w:sz w:val="24"/>
                <w:szCs w:val="24"/>
              </w:rPr>
              <w:t xml:space="preserve"> Polonya, Romanya,</w:t>
            </w:r>
            <w:r w:rsidR="00012323" w:rsidRPr="00C4089C">
              <w:rPr>
                <w:rFonts w:ascii="Times New Roman" w:hAnsi="Times New Roman" w:cs="Times New Roman"/>
                <w:color w:val="000000"/>
                <w:sz w:val="24"/>
                <w:szCs w:val="24"/>
              </w:rPr>
              <w:t xml:space="preserve"> Sırbistan,</w:t>
            </w:r>
            <w:r w:rsidRPr="00C4089C">
              <w:rPr>
                <w:rFonts w:ascii="Times New Roman" w:hAnsi="Times New Roman" w:cs="Times New Roman"/>
                <w:color w:val="000000"/>
                <w:sz w:val="24"/>
                <w:szCs w:val="24"/>
              </w:rPr>
              <w:t xml:space="preserve"> Slovakya, Slovenya, Türkiye</w:t>
            </w:r>
          </w:p>
        </w:tc>
        <w:tc>
          <w:tcPr>
            <w:tcW w:w="1417" w:type="dxa"/>
            <w:tcMar>
              <w:top w:w="0" w:type="dxa"/>
              <w:left w:w="108" w:type="dxa"/>
              <w:bottom w:w="0" w:type="dxa"/>
              <w:right w:w="108" w:type="dxa"/>
            </w:tcMar>
            <w:vAlign w:val="center"/>
            <w:hideMark/>
          </w:tcPr>
          <w:p w:rsidR="00841797" w:rsidRPr="00C4089C" w:rsidRDefault="00D648AD" w:rsidP="009A4BD9">
            <w:pPr>
              <w:jc w:val="center"/>
              <w:rPr>
                <w:rFonts w:ascii="Times New Roman" w:hAnsi="Times New Roman" w:cs="Times New Roman"/>
                <w:color w:val="000000"/>
                <w:sz w:val="24"/>
                <w:szCs w:val="24"/>
              </w:rPr>
            </w:pPr>
            <w:r w:rsidRPr="00C4089C">
              <w:rPr>
                <w:rFonts w:ascii="Times New Roman" w:hAnsi="Times New Roman" w:cs="Times New Roman"/>
                <w:color w:val="000000"/>
                <w:sz w:val="24"/>
                <w:szCs w:val="24"/>
              </w:rPr>
              <w:t>450</w:t>
            </w:r>
          </w:p>
        </w:tc>
        <w:tc>
          <w:tcPr>
            <w:tcW w:w="1531" w:type="dxa"/>
            <w:tcMar>
              <w:top w:w="0" w:type="dxa"/>
              <w:left w:w="108" w:type="dxa"/>
              <w:bottom w:w="0" w:type="dxa"/>
              <w:right w:w="108" w:type="dxa"/>
            </w:tcMar>
            <w:vAlign w:val="center"/>
            <w:hideMark/>
          </w:tcPr>
          <w:p w:rsidR="00841797" w:rsidRPr="00C4089C" w:rsidRDefault="00D648AD" w:rsidP="009A4BD9">
            <w:pPr>
              <w:jc w:val="center"/>
              <w:rPr>
                <w:rFonts w:ascii="Times New Roman" w:hAnsi="Times New Roman" w:cs="Times New Roman"/>
                <w:color w:val="000000"/>
                <w:sz w:val="24"/>
                <w:szCs w:val="24"/>
              </w:rPr>
            </w:pPr>
            <w:r w:rsidRPr="00C4089C">
              <w:rPr>
                <w:rFonts w:ascii="Times New Roman" w:hAnsi="Times New Roman" w:cs="Times New Roman"/>
                <w:color w:val="000000"/>
                <w:sz w:val="24"/>
                <w:szCs w:val="24"/>
              </w:rPr>
              <w:t>600</w:t>
            </w:r>
          </w:p>
        </w:tc>
      </w:tr>
    </w:tbl>
    <w:p w:rsidR="00841797" w:rsidRPr="00C4089C" w:rsidRDefault="00841797">
      <w:pPr>
        <w:rPr>
          <w:rFonts w:ascii="Times New Roman" w:hAnsi="Times New Roman" w:cs="Times New Roman"/>
          <w:sz w:val="24"/>
          <w:szCs w:val="24"/>
        </w:rPr>
      </w:pPr>
    </w:p>
    <w:p w:rsidR="001426A9" w:rsidRPr="00C4089C" w:rsidRDefault="001426A9" w:rsidP="001F14D4">
      <w:pPr>
        <w:pStyle w:val="ListeParagraf"/>
        <w:numPr>
          <w:ilvl w:val="0"/>
          <w:numId w:val="2"/>
        </w:numPr>
        <w:tabs>
          <w:tab w:val="left" w:pos="426"/>
        </w:tabs>
        <w:spacing w:after="120"/>
        <w:jc w:val="both"/>
        <w:outlineLvl w:val="1"/>
        <w:rPr>
          <w:rFonts w:ascii="Times New Roman" w:hAnsi="Times New Roman" w:cs="Times New Roman"/>
          <w:sz w:val="24"/>
          <w:szCs w:val="24"/>
        </w:rPr>
      </w:pPr>
      <w:bookmarkStart w:id="1" w:name="_Toc474499929"/>
      <w:bookmarkStart w:id="2" w:name="_Toc474503244"/>
      <w:r w:rsidRPr="00C4089C">
        <w:rPr>
          <w:rFonts w:ascii="Times New Roman" w:hAnsi="Times New Roman" w:cs="Times New Roman"/>
          <w:sz w:val="24"/>
          <w:szCs w:val="24"/>
        </w:rPr>
        <w:t>İsteyen öğrencilerin maddi destekten feragat edebil</w:t>
      </w:r>
      <w:bookmarkEnd w:id="1"/>
      <w:bookmarkEnd w:id="2"/>
      <w:r w:rsidRPr="00C4089C">
        <w:rPr>
          <w:rFonts w:ascii="Times New Roman" w:hAnsi="Times New Roman" w:cs="Times New Roman"/>
          <w:sz w:val="24"/>
          <w:szCs w:val="24"/>
        </w:rPr>
        <w:t>irler.</w:t>
      </w:r>
    </w:p>
    <w:p w:rsidR="001426A9" w:rsidRPr="00C4089C" w:rsidRDefault="001426A9" w:rsidP="001F14D4">
      <w:pPr>
        <w:pStyle w:val="ListeParagraf"/>
        <w:numPr>
          <w:ilvl w:val="0"/>
          <w:numId w:val="2"/>
        </w:numPr>
        <w:tabs>
          <w:tab w:val="left" w:pos="426"/>
        </w:tabs>
        <w:spacing w:after="120"/>
        <w:jc w:val="both"/>
        <w:outlineLvl w:val="1"/>
        <w:rPr>
          <w:rFonts w:ascii="Times New Roman" w:hAnsi="Times New Roman" w:cs="Times New Roman"/>
          <w:sz w:val="24"/>
          <w:szCs w:val="24"/>
        </w:rPr>
      </w:pPr>
      <w:bookmarkStart w:id="3" w:name="_Toc474499931"/>
      <w:bookmarkStart w:id="4" w:name="_Toc474503246"/>
      <w:r w:rsidRPr="00C4089C">
        <w:rPr>
          <w:rFonts w:ascii="Times New Roman" w:hAnsi="Times New Roman" w:cs="Times New Roman"/>
          <w:sz w:val="24"/>
          <w:szCs w:val="24"/>
        </w:rPr>
        <w:t xml:space="preserve">Seçildiği halde </w:t>
      </w:r>
      <w:proofErr w:type="spellStart"/>
      <w:r w:rsidRPr="00C4089C">
        <w:rPr>
          <w:rFonts w:ascii="Times New Roman" w:hAnsi="Times New Roman" w:cs="Times New Roman"/>
          <w:sz w:val="24"/>
          <w:szCs w:val="24"/>
        </w:rPr>
        <w:t>Erasmus</w:t>
      </w:r>
      <w:proofErr w:type="spellEnd"/>
      <w:r w:rsidRPr="00C4089C">
        <w:rPr>
          <w:rFonts w:ascii="Times New Roman" w:hAnsi="Times New Roman" w:cs="Times New Roman"/>
          <w:sz w:val="24"/>
          <w:szCs w:val="24"/>
        </w:rPr>
        <w:t xml:space="preserve"> hareketliliğine katılmaktan vazgeçen öğrenciler için feragat bildirim süresi tanınır ve bu süre dâhilinde feragat bildiriminde bulunulmazsa, öğrencinin daha sonraki herhangi bir </w:t>
      </w:r>
      <w:proofErr w:type="spellStart"/>
      <w:r w:rsidRPr="00C4089C">
        <w:rPr>
          <w:rFonts w:ascii="Times New Roman" w:hAnsi="Times New Roman" w:cs="Times New Roman"/>
          <w:sz w:val="24"/>
          <w:szCs w:val="24"/>
        </w:rPr>
        <w:t>Erasmus</w:t>
      </w:r>
      <w:proofErr w:type="spellEnd"/>
      <w:r w:rsidRPr="00C4089C">
        <w:rPr>
          <w:rFonts w:ascii="Times New Roman" w:hAnsi="Times New Roman" w:cs="Times New Roman"/>
          <w:sz w:val="24"/>
          <w:szCs w:val="24"/>
        </w:rPr>
        <w:t xml:space="preserve"> hareketliliği başvurusunda “-10 puan” düşürül</w:t>
      </w:r>
      <w:bookmarkEnd w:id="3"/>
      <w:bookmarkEnd w:id="4"/>
      <w:r w:rsidRPr="00C4089C">
        <w:rPr>
          <w:rFonts w:ascii="Times New Roman" w:hAnsi="Times New Roman" w:cs="Times New Roman"/>
          <w:sz w:val="24"/>
          <w:szCs w:val="24"/>
        </w:rPr>
        <w:t>ür.</w:t>
      </w:r>
    </w:p>
    <w:p w:rsidR="0022067B" w:rsidRPr="00C4089C" w:rsidRDefault="0022067B" w:rsidP="001F14D4">
      <w:pPr>
        <w:pStyle w:val="ListeParagraf"/>
        <w:numPr>
          <w:ilvl w:val="0"/>
          <w:numId w:val="2"/>
        </w:numPr>
        <w:tabs>
          <w:tab w:val="left" w:pos="426"/>
        </w:tabs>
        <w:spacing w:after="120"/>
        <w:jc w:val="both"/>
        <w:outlineLvl w:val="1"/>
        <w:rPr>
          <w:rFonts w:ascii="Times New Roman" w:hAnsi="Times New Roman" w:cs="Times New Roman"/>
          <w:sz w:val="24"/>
          <w:szCs w:val="24"/>
        </w:rPr>
      </w:pPr>
      <w:r w:rsidRPr="00C4089C">
        <w:rPr>
          <w:rFonts w:ascii="Times New Roman" w:hAnsi="Times New Roman" w:cs="Times New Roman"/>
          <w:sz w:val="24"/>
          <w:szCs w:val="24"/>
        </w:rPr>
        <w:t>Aynı öğrenim kademesi içerisinde daha önceki bir seçim döneminde seçilmiş, fakat mücbir bir sebebe dayanmaksızın, faaliyetini gerçekleştirmemiş öğrenciler için, hak kazanmış olunmasına rağmen, faaliyetin gerçekleştirilmediği her faaliyet için “-10 puan” azaltma uygulanır.</w:t>
      </w:r>
    </w:p>
    <w:p w:rsidR="0022067B" w:rsidRPr="00C4089C" w:rsidRDefault="0022067B" w:rsidP="001F14D4">
      <w:pPr>
        <w:pStyle w:val="ListeParagraf"/>
        <w:numPr>
          <w:ilvl w:val="0"/>
          <w:numId w:val="2"/>
        </w:numPr>
        <w:tabs>
          <w:tab w:val="left" w:pos="426"/>
        </w:tabs>
        <w:spacing w:after="120"/>
        <w:jc w:val="both"/>
        <w:outlineLvl w:val="1"/>
        <w:rPr>
          <w:rFonts w:ascii="Times New Roman" w:hAnsi="Times New Roman" w:cs="Times New Roman"/>
          <w:sz w:val="24"/>
          <w:szCs w:val="24"/>
        </w:rPr>
      </w:pPr>
      <w:r w:rsidRPr="00C4089C">
        <w:rPr>
          <w:rFonts w:ascii="Times New Roman" w:hAnsi="Times New Roman" w:cs="Times New Roman"/>
          <w:sz w:val="24"/>
          <w:szCs w:val="24"/>
        </w:rPr>
        <w:t>Yükseköğretim kurumunun öğrenim ve staj hareketliliği seçimlerini aynı başvuru ve değerlendirme süreci içerisinde gerçekleştirmesi halinde; daha önce hareketlilikten faydalanmayan bir öğrencinin hem öğrenim, hem staj faaliyetine aynı zamanda başvurması durumunda, “-10 puan” azaltmanın hangi faaliyette uygulanacağı öğrencinin tercihine bırakılır. Bu durumda öğrenciden hangi faaliyette azaltma uygulanmasını tercih ettiğine yönelik bir dilekçe alınır.</w:t>
      </w:r>
    </w:p>
    <w:p w:rsidR="0022067B" w:rsidRPr="00C4089C" w:rsidRDefault="0022067B" w:rsidP="001F14D4">
      <w:pPr>
        <w:pStyle w:val="ListeParagraf"/>
        <w:numPr>
          <w:ilvl w:val="0"/>
          <w:numId w:val="2"/>
        </w:numPr>
        <w:tabs>
          <w:tab w:val="left" w:pos="426"/>
        </w:tabs>
        <w:spacing w:after="120"/>
        <w:jc w:val="both"/>
        <w:outlineLvl w:val="1"/>
        <w:rPr>
          <w:rFonts w:ascii="Times New Roman" w:hAnsi="Times New Roman" w:cs="Times New Roman"/>
          <w:sz w:val="24"/>
          <w:szCs w:val="24"/>
        </w:rPr>
      </w:pPr>
      <w:r w:rsidRPr="00C4089C">
        <w:rPr>
          <w:rFonts w:ascii="Times New Roman" w:hAnsi="Times New Roman" w:cs="Times New Roman"/>
          <w:sz w:val="24"/>
          <w:szCs w:val="24"/>
        </w:rPr>
        <w:t>Daha önce hareketlilikten faydalanmış bir öğrencinin hem öğrenim, hem staj faaliyetine aynı zamanda başvurması durumunda, daha önce faydalandığı hareketlilik türünden “-10” puan, başvurduğu ikinci hareketlilik türünden ise “-20” puan azaltma uygulanır. Azaltmalar öğrencinin toplam puanı üzerinden yapılır.</w:t>
      </w:r>
    </w:p>
    <w:p w:rsidR="00522D78" w:rsidRPr="00C4089C" w:rsidRDefault="00E74663" w:rsidP="001F14D4">
      <w:pPr>
        <w:pStyle w:val="ListeParagraf"/>
        <w:numPr>
          <w:ilvl w:val="0"/>
          <w:numId w:val="2"/>
        </w:numPr>
        <w:tabs>
          <w:tab w:val="left" w:pos="426"/>
        </w:tabs>
        <w:spacing w:after="120"/>
        <w:jc w:val="both"/>
        <w:outlineLvl w:val="1"/>
        <w:rPr>
          <w:rFonts w:ascii="Times New Roman" w:hAnsi="Times New Roman" w:cs="Times New Roman"/>
          <w:sz w:val="24"/>
          <w:szCs w:val="24"/>
        </w:rPr>
      </w:pPr>
      <w:proofErr w:type="spellStart"/>
      <w:r w:rsidRPr="00C4089C">
        <w:rPr>
          <w:rFonts w:ascii="Times New Roman" w:hAnsi="Times New Roman" w:cs="Times New Roman"/>
          <w:sz w:val="24"/>
          <w:szCs w:val="24"/>
        </w:rPr>
        <w:lastRenderedPageBreak/>
        <w:t>Erasmus</w:t>
      </w:r>
      <w:proofErr w:type="spellEnd"/>
      <w:r w:rsidRPr="00C4089C">
        <w:rPr>
          <w:rFonts w:ascii="Times New Roman" w:hAnsi="Times New Roman" w:cs="Times New Roman"/>
          <w:sz w:val="24"/>
          <w:szCs w:val="24"/>
        </w:rPr>
        <w:t>+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İçerme desteğine gereksinim duyan öğrenci ve personele ilave hibe verilebilmesi için yararlanıcı yükseköğretim kurumu tarafından Merkezden ilave hibe talebinde bulunulması gerekmektedir. İçerme Desteği sahibi katılımcı seçildikten sonra, katılımcının ek hibe talebi varsa, yaklaşık ek masrafları belirlenir ve Merkezden ilave hibe talep edilir.</w:t>
      </w:r>
    </w:p>
    <w:p w:rsidR="003B3774" w:rsidRPr="00C4089C" w:rsidRDefault="003B3774" w:rsidP="003B3774">
      <w:pPr>
        <w:pStyle w:val="ListeParagraf"/>
        <w:numPr>
          <w:ilvl w:val="0"/>
          <w:numId w:val="2"/>
        </w:numPr>
        <w:tabs>
          <w:tab w:val="left" w:pos="426"/>
        </w:tabs>
        <w:spacing w:after="120"/>
        <w:jc w:val="both"/>
        <w:outlineLvl w:val="1"/>
        <w:rPr>
          <w:rFonts w:ascii="Times New Roman" w:hAnsi="Times New Roman" w:cs="Times New Roman"/>
          <w:sz w:val="24"/>
          <w:szCs w:val="24"/>
        </w:rPr>
      </w:pPr>
      <w:r w:rsidRPr="00226004">
        <w:rPr>
          <w:rFonts w:ascii="Times New Roman" w:hAnsi="Times New Roman" w:cs="Times New Roman"/>
          <w:b/>
          <w:sz w:val="24"/>
          <w:szCs w:val="24"/>
        </w:rPr>
        <w:t>Dezavantajlı katılımcılara</w:t>
      </w:r>
      <w:r w:rsidRPr="00C4089C">
        <w:rPr>
          <w:rFonts w:ascii="Times New Roman" w:hAnsi="Times New Roman" w:cs="Times New Roman"/>
          <w:sz w:val="24"/>
          <w:szCs w:val="24"/>
        </w:rPr>
        <w:t xml:space="preserve">, hak ettikleri hibeye ek olarak İlave Hibe Desteği sağlanabilecektir. Söz konusu hibenin verilebilmesi için, </w:t>
      </w:r>
      <w:r w:rsidRPr="00226004">
        <w:rPr>
          <w:rFonts w:ascii="Times New Roman" w:hAnsi="Times New Roman" w:cs="Times New Roman"/>
          <w:b/>
          <w:sz w:val="24"/>
          <w:szCs w:val="24"/>
        </w:rPr>
        <w:t>dezavantajlı katılımcı</w:t>
      </w:r>
      <w:r w:rsidRPr="00C4089C">
        <w:rPr>
          <w:rFonts w:ascii="Times New Roman" w:hAnsi="Times New Roman" w:cs="Times New Roman"/>
          <w:sz w:val="24"/>
          <w:szCs w:val="24"/>
        </w:rPr>
        <w:t xml:space="preserve">, ekonomik ve sosyal açıdan imkânları kısıtlı olan ve aşağıdaki alt kategorilere uyan birey olarak tanımlanmıştır. </w:t>
      </w:r>
    </w:p>
    <w:p w:rsidR="003B3774" w:rsidRPr="00C4089C" w:rsidRDefault="00740A39" w:rsidP="00740A39">
      <w:pPr>
        <w:pStyle w:val="Default"/>
        <w:spacing w:after="56"/>
        <w:ind w:firstLine="360"/>
        <w:jc w:val="both"/>
      </w:pPr>
      <w:r w:rsidRPr="00C4089C">
        <w:t>a</w:t>
      </w:r>
      <w:r w:rsidR="003B3774" w:rsidRPr="00C4089C">
        <w:t xml:space="preserve">) 2828 sayılı kanuna tabi olanlar (Aile ve Sosyal Hizmetler Bakanlığı tarafından haklarında 2828 sayılı Kanun uyarınca koruma, bakım veya barınma kararı olanlar) </w:t>
      </w:r>
    </w:p>
    <w:p w:rsidR="003B3774" w:rsidRPr="00C4089C" w:rsidRDefault="00740A39" w:rsidP="00740A39">
      <w:pPr>
        <w:pStyle w:val="Default"/>
        <w:spacing w:after="56"/>
        <w:ind w:firstLine="360"/>
        <w:jc w:val="both"/>
      </w:pPr>
      <w:r w:rsidRPr="00C4089C">
        <w:t>b</w:t>
      </w:r>
      <w:r w:rsidR="003B3774" w:rsidRPr="00C4089C">
        <w:t xml:space="preserve">) 5395 sayılı Çocuk Koruma Kanunu Kapsamında haklarında korunma, bakım veya barınma kararı alınmış öğrencilere </w:t>
      </w:r>
    </w:p>
    <w:p w:rsidR="003B3774" w:rsidRPr="00C4089C" w:rsidRDefault="00740A39" w:rsidP="00740A39">
      <w:pPr>
        <w:pStyle w:val="Default"/>
        <w:spacing w:after="56"/>
        <w:ind w:firstLine="360"/>
        <w:jc w:val="both"/>
      </w:pPr>
      <w:r w:rsidRPr="00C4089C">
        <w:t>c</w:t>
      </w:r>
      <w:r w:rsidR="003B3774" w:rsidRPr="00C4089C">
        <w:t xml:space="preserve">) Kendilerine yetim aylığı bağlananlar </w:t>
      </w:r>
    </w:p>
    <w:p w:rsidR="003B3774" w:rsidRPr="00C4089C" w:rsidRDefault="00740A39" w:rsidP="00740A39">
      <w:pPr>
        <w:pStyle w:val="Default"/>
        <w:spacing w:after="56"/>
        <w:ind w:firstLine="360"/>
        <w:jc w:val="both"/>
      </w:pPr>
      <w:r w:rsidRPr="00C4089C">
        <w:t>d</w:t>
      </w:r>
      <w:r w:rsidR="003B3774" w:rsidRPr="00C4089C">
        <w:t xml:space="preserve">) Şehit/Gazi çocukları </w:t>
      </w:r>
    </w:p>
    <w:p w:rsidR="003B3774" w:rsidRPr="00C4089C" w:rsidRDefault="00740A39" w:rsidP="00740A39">
      <w:pPr>
        <w:pStyle w:val="Default"/>
        <w:ind w:firstLine="360"/>
        <w:jc w:val="both"/>
      </w:pPr>
      <w:r w:rsidRPr="00C4089C">
        <w:t>e</w:t>
      </w:r>
      <w:r w:rsidR="003B3774" w:rsidRPr="00C4089C">
        <w:t xml:space="preserve">) 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w:t>
      </w:r>
      <w:proofErr w:type="spellStart"/>
      <w:r w:rsidR="003B3774" w:rsidRPr="00C4089C">
        <w:t>Erasmus</w:t>
      </w:r>
      <w:proofErr w:type="spellEnd"/>
      <w:r w:rsidR="003B3774" w:rsidRPr="00C4089C">
        <w:t xml:space="preserve"> başvurusunu yaptığı esnada maddi destek aldığını kanıtlayan bir belge ibraz edilmesi yeterlidir.) </w:t>
      </w:r>
    </w:p>
    <w:p w:rsidR="003B3774" w:rsidRPr="00C4089C" w:rsidRDefault="003B3774" w:rsidP="00740A39">
      <w:pPr>
        <w:pStyle w:val="Default"/>
        <w:jc w:val="both"/>
      </w:pPr>
    </w:p>
    <w:p w:rsidR="003B3774" w:rsidRPr="00C4089C" w:rsidRDefault="003B3774" w:rsidP="00740A39">
      <w:pPr>
        <w:pStyle w:val="Default"/>
        <w:jc w:val="both"/>
      </w:pPr>
      <w:r w:rsidRPr="00C4089C">
        <w:t xml:space="preserve">Kredi ve Yurtlar Kurumu bursları ve benzeri burslar, başarı bursu niteliğindeki diğer hibe, yardım ve burslar, tek seferlik yardımlar söz konusu maddi yardım kapsamında kabul edilmez. </w:t>
      </w:r>
    </w:p>
    <w:p w:rsidR="00F5199B" w:rsidRPr="00C4089C" w:rsidRDefault="00F5199B" w:rsidP="00740A39">
      <w:pPr>
        <w:pStyle w:val="Default"/>
        <w:jc w:val="both"/>
      </w:pPr>
    </w:p>
    <w:p w:rsidR="0022067B" w:rsidRPr="00C4089C" w:rsidRDefault="003B3774" w:rsidP="00DC7B31">
      <w:pPr>
        <w:tabs>
          <w:tab w:val="left" w:pos="426"/>
        </w:tabs>
        <w:spacing w:after="120"/>
        <w:jc w:val="both"/>
        <w:outlineLvl w:val="1"/>
        <w:rPr>
          <w:rFonts w:ascii="Times New Roman" w:hAnsi="Times New Roman" w:cs="Times New Roman"/>
          <w:sz w:val="24"/>
          <w:szCs w:val="24"/>
        </w:rPr>
      </w:pPr>
      <w:r w:rsidRPr="00C4089C">
        <w:rPr>
          <w:rFonts w:ascii="Times New Roman" w:hAnsi="Times New Roman" w:cs="Times New Roman"/>
          <w:sz w:val="24"/>
          <w:szCs w:val="24"/>
        </w:rPr>
        <w:t>Yukarıdaki kapsama uyan öğrencilere talepleri halinde ve bu durumlarını</w:t>
      </w:r>
      <w:r w:rsidR="00F5199B" w:rsidRPr="00C4089C">
        <w:rPr>
          <w:rFonts w:ascii="Times New Roman" w:hAnsi="Times New Roman" w:cs="Times New Roman"/>
          <w:sz w:val="24"/>
          <w:szCs w:val="24"/>
        </w:rPr>
        <w:t xml:space="preserve"> belgelendirmek kaydıyla,</w:t>
      </w:r>
      <w:r w:rsidR="00164BA0" w:rsidRPr="00C4089C">
        <w:rPr>
          <w:rFonts w:ascii="Times New Roman" w:hAnsi="Times New Roman" w:cs="Times New Roman"/>
          <w:sz w:val="24"/>
          <w:szCs w:val="24"/>
        </w:rPr>
        <w:t xml:space="preserve"> hareketlilik türüne göre aşağıdaki miktarlarda İlave </w:t>
      </w:r>
      <w:r w:rsidR="00DC7B31" w:rsidRPr="00C4089C">
        <w:rPr>
          <w:rFonts w:ascii="Times New Roman" w:hAnsi="Times New Roman" w:cs="Times New Roman"/>
          <w:sz w:val="24"/>
          <w:szCs w:val="24"/>
        </w:rPr>
        <w:t xml:space="preserve">250€ </w:t>
      </w:r>
      <w:r w:rsidR="00164BA0" w:rsidRPr="00C4089C">
        <w:rPr>
          <w:rFonts w:ascii="Times New Roman" w:hAnsi="Times New Roman" w:cs="Times New Roman"/>
          <w:sz w:val="24"/>
          <w:szCs w:val="24"/>
        </w:rPr>
        <w:t>Hibe Desteği sağlanabilecektir.</w:t>
      </w:r>
    </w:p>
    <w:p w:rsidR="001426A9" w:rsidRPr="00C4089C" w:rsidRDefault="001426A9" w:rsidP="001426A9">
      <w:pPr>
        <w:tabs>
          <w:tab w:val="left" w:pos="426"/>
        </w:tabs>
        <w:spacing w:after="120"/>
        <w:ind w:left="420" w:hanging="420"/>
        <w:jc w:val="both"/>
        <w:outlineLvl w:val="1"/>
        <w:rPr>
          <w:rFonts w:ascii="Times New Roman" w:hAnsi="Times New Roman" w:cs="Times New Roman"/>
          <w:sz w:val="24"/>
          <w:szCs w:val="24"/>
        </w:rPr>
      </w:pPr>
    </w:p>
    <w:p w:rsidR="00C212BE" w:rsidRPr="00C4089C" w:rsidRDefault="00C212BE" w:rsidP="00C212BE">
      <w:pPr>
        <w:tabs>
          <w:tab w:val="left" w:pos="426"/>
        </w:tabs>
        <w:spacing w:after="120"/>
        <w:ind w:left="420" w:hanging="420"/>
        <w:jc w:val="both"/>
        <w:outlineLvl w:val="1"/>
        <w:rPr>
          <w:rFonts w:ascii="Times New Roman" w:hAnsi="Times New Roman" w:cs="Times New Roman"/>
          <w:sz w:val="24"/>
          <w:szCs w:val="24"/>
        </w:rPr>
      </w:pPr>
    </w:p>
    <w:p w:rsidR="00C212BE" w:rsidRPr="00C4089C" w:rsidRDefault="00C212BE">
      <w:pPr>
        <w:rPr>
          <w:rFonts w:ascii="Times New Roman" w:hAnsi="Times New Roman" w:cs="Times New Roman"/>
          <w:sz w:val="24"/>
          <w:szCs w:val="24"/>
        </w:rPr>
      </w:pPr>
    </w:p>
    <w:sectPr w:rsidR="00C212BE" w:rsidRPr="00C4089C" w:rsidSect="00841797">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FC" w:rsidRDefault="004F72FC" w:rsidP="00C212BE">
      <w:pPr>
        <w:spacing w:after="0" w:line="240" w:lineRule="auto"/>
      </w:pPr>
      <w:r>
        <w:separator/>
      </w:r>
    </w:p>
  </w:endnote>
  <w:endnote w:type="continuationSeparator" w:id="0">
    <w:p w:rsidR="004F72FC" w:rsidRDefault="004F72FC" w:rsidP="00C2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FC" w:rsidRDefault="004F72FC" w:rsidP="00C212BE">
      <w:pPr>
        <w:spacing w:after="0" w:line="240" w:lineRule="auto"/>
      </w:pPr>
      <w:r>
        <w:separator/>
      </w:r>
    </w:p>
  </w:footnote>
  <w:footnote w:type="continuationSeparator" w:id="0">
    <w:p w:rsidR="004F72FC" w:rsidRDefault="004F72FC" w:rsidP="00C21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304A"/>
    <w:multiLevelType w:val="hybridMultilevel"/>
    <w:tmpl w:val="BEB0E7E2"/>
    <w:lvl w:ilvl="0" w:tplc="CF72BE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734F45"/>
    <w:multiLevelType w:val="hybridMultilevel"/>
    <w:tmpl w:val="58BC99E2"/>
    <w:lvl w:ilvl="0" w:tplc="B5D060BA">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F8B5779"/>
    <w:multiLevelType w:val="hybridMultilevel"/>
    <w:tmpl w:val="BEB0E7E2"/>
    <w:lvl w:ilvl="0" w:tplc="CF72BE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12BE"/>
    <w:rsid w:val="00012323"/>
    <w:rsid w:val="00022E7B"/>
    <w:rsid w:val="000E05F1"/>
    <w:rsid w:val="000F25A0"/>
    <w:rsid w:val="001426A9"/>
    <w:rsid w:val="00164BA0"/>
    <w:rsid w:val="00172CA9"/>
    <w:rsid w:val="00183BD6"/>
    <w:rsid w:val="001B3B18"/>
    <w:rsid w:val="001B3D36"/>
    <w:rsid w:val="001F14D4"/>
    <w:rsid w:val="00204DED"/>
    <w:rsid w:val="00213018"/>
    <w:rsid w:val="0022067B"/>
    <w:rsid w:val="00226004"/>
    <w:rsid w:val="00385A92"/>
    <w:rsid w:val="003A5A3F"/>
    <w:rsid w:val="003B3774"/>
    <w:rsid w:val="00476398"/>
    <w:rsid w:val="00485AFE"/>
    <w:rsid w:val="004F72FC"/>
    <w:rsid w:val="00505EBA"/>
    <w:rsid w:val="00520C26"/>
    <w:rsid w:val="00522D78"/>
    <w:rsid w:val="0057191A"/>
    <w:rsid w:val="00607303"/>
    <w:rsid w:val="00617492"/>
    <w:rsid w:val="00623D3C"/>
    <w:rsid w:val="006337EB"/>
    <w:rsid w:val="0064507E"/>
    <w:rsid w:val="00682316"/>
    <w:rsid w:val="00683987"/>
    <w:rsid w:val="006F2346"/>
    <w:rsid w:val="00740A39"/>
    <w:rsid w:val="00837CC1"/>
    <w:rsid w:val="00841797"/>
    <w:rsid w:val="008A3FD8"/>
    <w:rsid w:val="008A5D28"/>
    <w:rsid w:val="008A7A55"/>
    <w:rsid w:val="008E25EC"/>
    <w:rsid w:val="008F4699"/>
    <w:rsid w:val="00955BF2"/>
    <w:rsid w:val="009945D1"/>
    <w:rsid w:val="009D2486"/>
    <w:rsid w:val="00A52E77"/>
    <w:rsid w:val="00A82FCA"/>
    <w:rsid w:val="00AA1801"/>
    <w:rsid w:val="00AB2E4D"/>
    <w:rsid w:val="00AC6C69"/>
    <w:rsid w:val="00B3656B"/>
    <w:rsid w:val="00B6144F"/>
    <w:rsid w:val="00BC38DA"/>
    <w:rsid w:val="00C212BE"/>
    <w:rsid w:val="00C4089C"/>
    <w:rsid w:val="00C46CA1"/>
    <w:rsid w:val="00C472BE"/>
    <w:rsid w:val="00CB7745"/>
    <w:rsid w:val="00D648AD"/>
    <w:rsid w:val="00D9732D"/>
    <w:rsid w:val="00DC7B31"/>
    <w:rsid w:val="00DE7C30"/>
    <w:rsid w:val="00E73D21"/>
    <w:rsid w:val="00E74663"/>
    <w:rsid w:val="00E81AF0"/>
    <w:rsid w:val="00E84795"/>
    <w:rsid w:val="00EE13A9"/>
    <w:rsid w:val="00EF7805"/>
    <w:rsid w:val="00EF795B"/>
    <w:rsid w:val="00F41C86"/>
    <w:rsid w:val="00F5199B"/>
    <w:rsid w:val="00FB24B3"/>
    <w:rsid w:val="00FD0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C212BE"/>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C212BE"/>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C212BE"/>
    <w:rPr>
      <w:vertAlign w:val="superscript"/>
    </w:rPr>
  </w:style>
  <w:style w:type="table" w:styleId="TabloKlavuzu">
    <w:name w:val="Table Grid"/>
    <w:basedOn w:val="NormalTablo"/>
    <w:uiPriority w:val="59"/>
    <w:rsid w:val="00C212B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9732D"/>
    <w:pPr>
      <w:ind w:left="720"/>
      <w:contextualSpacing/>
    </w:pPr>
  </w:style>
  <w:style w:type="paragraph" w:styleId="BalonMetni">
    <w:name w:val="Balloon Text"/>
    <w:basedOn w:val="Normal"/>
    <w:link w:val="BalonMetniChar"/>
    <w:uiPriority w:val="99"/>
    <w:semiHidden/>
    <w:unhideWhenUsed/>
    <w:rsid w:val="00AA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801"/>
    <w:rPr>
      <w:rFonts w:ascii="Tahoma" w:hAnsi="Tahoma" w:cs="Tahoma"/>
      <w:sz w:val="16"/>
      <w:szCs w:val="16"/>
    </w:rPr>
  </w:style>
  <w:style w:type="paragraph" w:customStyle="1" w:styleId="Default">
    <w:name w:val="Default"/>
    <w:rsid w:val="003B37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365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6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806</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USER</cp:lastModifiedBy>
  <cp:revision>56</cp:revision>
  <dcterms:created xsi:type="dcterms:W3CDTF">2019-11-05T08:34:00Z</dcterms:created>
  <dcterms:modified xsi:type="dcterms:W3CDTF">2023-08-28T10:50:00Z</dcterms:modified>
</cp:coreProperties>
</file>